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Default="00055939" w:rsidP="00055939">
      <w:pPr>
        <w:overflowPunct w:val="0"/>
        <w:autoSpaceDE w:val="0"/>
        <w:autoSpaceDN w:val="0"/>
        <w:adjustRightInd w:val="0"/>
        <w:jc w:val="center"/>
        <w:rPr>
          <w:b/>
          <w:sz w:val="22"/>
          <w:szCs w:val="22"/>
        </w:rPr>
      </w:pPr>
      <w:r>
        <w:rPr>
          <w:b/>
          <w:sz w:val="22"/>
          <w:szCs w:val="22"/>
        </w:rPr>
        <w:t>ОТЧЕТ ОБ ИТОГАХ ГОЛОСОВАНИЯ</w:t>
      </w:r>
    </w:p>
    <w:p w:rsidR="00055939" w:rsidRDefault="00055939" w:rsidP="00055939">
      <w:pPr>
        <w:overflowPunct w:val="0"/>
        <w:autoSpaceDE w:val="0"/>
        <w:autoSpaceDN w:val="0"/>
        <w:adjustRightInd w:val="0"/>
        <w:jc w:val="center"/>
        <w:rPr>
          <w:b/>
          <w:sz w:val="22"/>
          <w:szCs w:val="22"/>
        </w:rPr>
      </w:pPr>
      <w:r>
        <w:rPr>
          <w:b/>
          <w:sz w:val="22"/>
          <w:szCs w:val="22"/>
        </w:rPr>
        <w:t xml:space="preserve">НА ВНЕОЧЕРЕДНОМ ОБЩЕМ СОБРАНИИ АКЦИОНЕРОВ  </w:t>
      </w:r>
    </w:p>
    <w:p w:rsidR="00055939" w:rsidRDefault="00055939" w:rsidP="00055939">
      <w:pPr>
        <w:pStyle w:val="a4"/>
        <w:rPr>
          <w:b/>
          <w:sz w:val="22"/>
          <w:szCs w:val="22"/>
        </w:rPr>
      </w:pPr>
      <w:r>
        <w:rPr>
          <w:b/>
          <w:sz w:val="22"/>
          <w:szCs w:val="22"/>
        </w:rPr>
        <w:t>АКЦИОНЕРНОГО ОБЩЕСТВА «СИБНЕФТЕМАШ»</w:t>
      </w:r>
    </w:p>
    <w:p w:rsidR="00055939"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Tr="00660512">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Акционерное общество «</w:t>
            </w:r>
            <w:proofErr w:type="spellStart"/>
            <w:r>
              <w:t>Сибнефтемаш</w:t>
            </w:r>
            <w:proofErr w:type="spellEnd"/>
            <w:r>
              <w:t xml:space="preserve">» </w:t>
            </w:r>
          </w:p>
          <w:p w:rsidR="00055939" w:rsidRDefault="00055939">
            <w:pPr>
              <w:jc w:val="both"/>
            </w:pPr>
            <w:r>
              <w:t>(далее АО «</w:t>
            </w:r>
            <w:proofErr w:type="spellStart"/>
            <w:r>
              <w:t>Сибнефтемаш</w:t>
            </w:r>
            <w:proofErr w:type="spellEnd"/>
            <w:r>
              <w:t xml:space="preserve">» или «Общество») </w:t>
            </w:r>
          </w:p>
        </w:tc>
      </w:tr>
      <w:tr w:rsidR="00055939" w:rsidTr="00660512">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Место нахождения </w:t>
            </w:r>
          </w:p>
          <w:p w:rsidR="00055939" w:rsidRDefault="00055939">
            <w: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660512">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внеочередное</w:t>
            </w:r>
          </w:p>
        </w:tc>
      </w:tr>
      <w:tr w:rsidR="00055939" w:rsidTr="00660512">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Tr="00660512">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B42BDF">
            <w:pPr>
              <w:jc w:val="both"/>
              <w:rPr>
                <w:b/>
              </w:rPr>
            </w:pPr>
            <w:r>
              <w:rPr>
                <w:b/>
              </w:rPr>
              <w:t xml:space="preserve">«14» августа </w:t>
            </w:r>
            <w:r w:rsidR="00055939">
              <w:rPr>
                <w:b/>
              </w:rPr>
              <w:t>2017 года</w:t>
            </w:r>
          </w:p>
        </w:tc>
      </w:tr>
      <w:tr w:rsidR="00055939" w:rsidTr="00660512">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660512">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Default="00055939">
            <w:pPr>
              <w:jc w:val="both"/>
            </w:pPr>
          </w:p>
          <w:p w:rsidR="00055939" w:rsidRDefault="00055939">
            <w:pPr>
              <w:jc w:val="both"/>
            </w:pPr>
          </w:p>
          <w:p w:rsidR="00055939" w:rsidRDefault="005F4DCC">
            <w:pPr>
              <w:jc w:val="both"/>
            </w:pPr>
            <w:r>
              <w:t>«24» июля</w:t>
            </w:r>
            <w:r w:rsidR="00055939">
              <w:t xml:space="preserve"> 2017 года</w:t>
            </w:r>
          </w:p>
        </w:tc>
      </w:tr>
      <w:tr w:rsidR="00055939" w:rsidTr="00660512">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5F4DCC">
            <w:pPr>
              <w:jc w:val="both"/>
              <w:rPr>
                <w:b/>
              </w:rPr>
            </w:pPr>
            <w:r>
              <w:rPr>
                <w:b/>
              </w:rPr>
              <w:t>«14» августа</w:t>
            </w:r>
            <w:r w:rsidR="00055939">
              <w:rPr>
                <w:b/>
              </w:rPr>
              <w:t xml:space="preserve"> 2017 года, 12 ч. 00 мин. </w:t>
            </w:r>
          </w:p>
        </w:tc>
      </w:tr>
    </w:tbl>
    <w:p w:rsidR="00055939" w:rsidRDefault="00055939" w:rsidP="00055939">
      <w:pPr>
        <w:ind w:firstLine="720"/>
        <w:jc w:val="both"/>
        <w:rPr>
          <w:sz w:val="22"/>
          <w:szCs w:val="22"/>
        </w:rPr>
      </w:pPr>
    </w:p>
    <w:p w:rsidR="00660512" w:rsidRDefault="00660512" w:rsidP="00660512">
      <w:pPr>
        <w:jc w:val="both"/>
        <w:rPr>
          <w:bCs/>
        </w:rPr>
      </w:pPr>
      <w:r>
        <w:rPr>
          <w:b/>
          <w:bCs/>
        </w:rPr>
        <w:t>Председатель собрания</w:t>
      </w:r>
      <w:r>
        <w:rPr>
          <w:bCs/>
        </w:rPr>
        <w:t>: Новиков Андрей Евгеньевич.</w:t>
      </w:r>
    </w:p>
    <w:p w:rsidR="00660512" w:rsidRDefault="00660512" w:rsidP="00660512">
      <w:pPr>
        <w:jc w:val="both"/>
        <w:rPr>
          <w:bCs/>
        </w:rPr>
      </w:pPr>
      <w:r>
        <w:rPr>
          <w:b/>
          <w:bCs/>
        </w:rPr>
        <w:t>Секретарь собрания</w:t>
      </w:r>
      <w:r>
        <w:rPr>
          <w:bCs/>
        </w:rPr>
        <w:t>: Воронина Юлия Александровна.</w:t>
      </w:r>
    </w:p>
    <w:p w:rsidR="00660512" w:rsidRDefault="00660512" w:rsidP="00660512">
      <w:pPr>
        <w:tabs>
          <w:tab w:val="left" w:pos="3261"/>
          <w:tab w:val="left" w:pos="10704"/>
        </w:tabs>
        <w:spacing w:before="120"/>
        <w:jc w:val="both"/>
      </w:pPr>
      <w:r>
        <w:rPr>
          <w:b/>
          <w:sz w:val="22"/>
          <w:szCs w:val="22"/>
        </w:rPr>
        <w:t>Счетная комиссия:</w:t>
      </w:r>
      <w:r>
        <w:rPr>
          <w:sz w:val="22"/>
          <w:szCs w:val="22"/>
        </w:rPr>
        <w:t xml:space="preserve"> Специализированный регистратор </w:t>
      </w:r>
      <w:r>
        <w:t>Акционерное общество «Новый регистратор» (Тюменский филиал).</w:t>
      </w:r>
    </w:p>
    <w:p w:rsidR="00660512" w:rsidRDefault="00660512" w:rsidP="00660512">
      <w:pPr>
        <w:tabs>
          <w:tab w:val="left" w:pos="3261"/>
          <w:tab w:val="left" w:pos="10704"/>
        </w:tabs>
        <w:spacing w:before="120"/>
        <w:jc w:val="both"/>
        <w:rPr>
          <w:sz w:val="22"/>
          <w:szCs w:val="22"/>
        </w:rPr>
      </w:pPr>
      <w:r>
        <w:rPr>
          <w:b/>
          <w:sz w:val="22"/>
          <w:szCs w:val="22"/>
        </w:rPr>
        <w:t>Место нахождения регистратора:</w:t>
      </w:r>
      <w:r>
        <w:rPr>
          <w:rFonts w:ascii="Arial" w:hAnsi="Arial" w:cs="Arial"/>
          <w:color w:val="000000"/>
          <w:sz w:val="21"/>
          <w:szCs w:val="21"/>
          <w:shd w:val="clear" w:color="auto" w:fill="FFFFFF"/>
        </w:rPr>
        <w:t xml:space="preserve"> </w:t>
      </w:r>
      <w:r>
        <w:t xml:space="preserve">107996, РФ, г. Москва, ул. </w:t>
      </w:r>
      <w:proofErr w:type="spellStart"/>
      <w:r>
        <w:t>Буженинова</w:t>
      </w:r>
      <w:proofErr w:type="spellEnd"/>
      <w:r>
        <w:t>, д. 30, стр. 1</w:t>
      </w:r>
      <w:r>
        <w:rPr>
          <w:sz w:val="22"/>
          <w:szCs w:val="22"/>
        </w:rPr>
        <w:t xml:space="preserve"> (</w:t>
      </w:r>
      <w:r>
        <w:t>место нахождение Тюменского филиала: 625019, РФ, Тюменская область, г. Тюмень, ул. Республики, д. 211 А).</w:t>
      </w:r>
    </w:p>
    <w:p w:rsidR="00660512" w:rsidRPr="004F4D74" w:rsidRDefault="00660512" w:rsidP="00660512">
      <w:pPr>
        <w:tabs>
          <w:tab w:val="left" w:pos="3261"/>
          <w:tab w:val="left" w:pos="10704"/>
        </w:tabs>
        <w:spacing w:before="60"/>
        <w:jc w:val="both"/>
        <w:rPr>
          <w:sz w:val="22"/>
          <w:szCs w:val="22"/>
        </w:rPr>
      </w:pPr>
      <w:r>
        <w:rPr>
          <w:b/>
          <w:sz w:val="22"/>
          <w:szCs w:val="22"/>
        </w:rPr>
        <w:t>Уполномоченное лицо регистратора:</w:t>
      </w:r>
      <w:r>
        <w:rPr>
          <w:sz w:val="22"/>
          <w:szCs w:val="22"/>
        </w:rPr>
        <w:t xml:space="preserve"> Токмянина Вера Львовна </w:t>
      </w:r>
      <w:r w:rsidRPr="004F4D74">
        <w:rPr>
          <w:sz w:val="22"/>
          <w:szCs w:val="22"/>
        </w:rPr>
        <w:t xml:space="preserve">(доверенность №104 от 01.09.2014 г. сроком действия до 01.09.2017 г.). </w:t>
      </w:r>
    </w:p>
    <w:p w:rsidR="00660512" w:rsidRDefault="00660512" w:rsidP="00660512">
      <w:pPr>
        <w:tabs>
          <w:tab w:val="left" w:pos="3261"/>
          <w:tab w:val="left" w:pos="10704"/>
        </w:tabs>
        <w:spacing w:before="60"/>
        <w:jc w:val="both"/>
        <w:rPr>
          <w:sz w:val="22"/>
          <w:szCs w:val="22"/>
        </w:rPr>
      </w:pPr>
    </w:p>
    <w:p w:rsidR="00660512" w:rsidRDefault="00660512" w:rsidP="00660512">
      <w:pPr>
        <w:jc w:val="both"/>
      </w:pPr>
      <w: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660512" w:rsidRPr="000E69A5" w:rsidRDefault="00660512" w:rsidP="00660512">
      <w:pPr>
        <w:jc w:val="both"/>
        <w:sectPr w:rsidR="00660512" w:rsidRPr="000E69A5">
          <w:footerReference w:type="default" r:id="rId7"/>
          <w:pgSz w:w="11906" w:h="16838"/>
          <w:pgMar w:top="1134" w:right="850" w:bottom="1134" w:left="1701" w:header="708" w:footer="708" w:gutter="0"/>
          <w:cols w:space="708"/>
          <w:docGrid w:linePitch="360"/>
        </w:sectPr>
      </w:pPr>
    </w:p>
    <w:tbl>
      <w:tblPr>
        <w:tblpPr w:leftFromText="180" w:rightFromText="180" w:vertAnchor="text" w:horzAnchor="margin"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660512" w:rsidRPr="006A5278" w:rsidTr="001C5A13">
        <w:trPr>
          <w:cantSplit/>
          <w:trHeight w:val="699"/>
        </w:trPr>
        <w:tc>
          <w:tcPr>
            <w:tcW w:w="7479" w:type="dxa"/>
            <w:shd w:val="clear" w:color="auto" w:fill="auto"/>
          </w:tcPr>
          <w:p w:rsidR="00660512" w:rsidRPr="00B0582C" w:rsidRDefault="00660512" w:rsidP="001C5A13">
            <w:pPr>
              <w:keepNext/>
              <w:spacing w:before="40" w:after="40"/>
              <w:jc w:val="both"/>
            </w:pPr>
            <w:r w:rsidRPr="00B0582C">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660512" w:rsidRPr="00B0582C" w:rsidRDefault="00660512" w:rsidP="001C5A13">
            <w:pPr>
              <w:keepNext/>
              <w:spacing w:before="40" w:after="40"/>
              <w:jc w:val="both"/>
            </w:pPr>
          </w:p>
        </w:tc>
        <w:tc>
          <w:tcPr>
            <w:tcW w:w="1843" w:type="dxa"/>
            <w:shd w:val="clear" w:color="auto" w:fill="auto"/>
            <w:vAlign w:val="bottom"/>
          </w:tcPr>
          <w:p w:rsidR="00660512" w:rsidRPr="00B0582C" w:rsidRDefault="00660512" w:rsidP="001C5A13">
            <w:pPr>
              <w:keepNext/>
              <w:spacing w:before="40" w:after="40"/>
              <w:jc w:val="right"/>
              <w:rPr>
                <w:lang w:val="en-US"/>
              </w:rPr>
            </w:pPr>
            <w:r w:rsidRPr="00B0582C">
              <w:rPr>
                <w:lang w:val="en-US"/>
              </w:rPr>
              <w:t>1 778 656</w:t>
            </w:r>
          </w:p>
          <w:p w:rsidR="00660512" w:rsidRPr="00B0582C" w:rsidRDefault="00660512" w:rsidP="001C5A13">
            <w:pPr>
              <w:keepNext/>
              <w:spacing w:before="40" w:after="40"/>
              <w:jc w:val="right"/>
              <w:rPr>
                <w:lang w:val="en-US"/>
              </w:rPr>
            </w:pPr>
          </w:p>
        </w:tc>
      </w:tr>
      <w:tr w:rsidR="00660512" w:rsidRPr="006A5278" w:rsidTr="001C5A13">
        <w:trPr>
          <w:cantSplit/>
        </w:trPr>
        <w:tc>
          <w:tcPr>
            <w:tcW w:w="7479" w:type="dxa"/>
            <w:shd w:val="clear" w:color="auto" w:fill="auto"/>
          </w:tcPr>
          <w:p w:rsidR="00660512" w:rsidRPr="00B0582C" w:rsidRDefault="00660512" w:rsidP="001C5A13">
            <w:pPr>
              <w:keepNext/>
              <w:spacing w:before="40" w:after="40"/>
              <w:jc w:val="both"/>
            </w:pPr>
            <w:r w:rsidRPr="00B0582C">
              <w:t>Число голосов, приходившихся на голосующие акции общества по вопросам повестки дня общего собрания, определенное с учетом положений п. 4.20 Положения, утвержденного приказом ФСФР России от 02.02.2012 г. № 12-6/</w:t>
            </w:r>
            <w:proofErr w:type="spellStart"/>
            <w:r w:rsidRPr="00B0582C">
              <w:t>пз</w:t>
            </w:r>
            <w:proofErr w:type="spellEnd"/>
            <w:r w:rsidRPr="00B0582C">
              <w:t>-н:</w:t>
            </w:r>
          </w:p>
        </w:tc>
        <w:tc>
          <w:tcPr>
            <w:tcW w:w="1843" w:type="dxa"/>
            <w:shd w:val="clear" w:color="auto" w:fill="auto"/>
            <w:vAlign w:val="bottom"/>
          </w:tcPr>
          <w:p w:rsidR="00660512" w:rsidRPr="00B0582C" w:rsidRDefault="00660512" w:rsidP="001C5A13">
            <w:pPr>
              <w:keepNext/>
              <w:spacing w:before="40" w:after="40"/>
              <w:jc w:val="right"/>
              <w:rPr>
                <w:lang w:val="en-US"/>
              </w:rPr>
            </w:pPr>
            <w:r w:rsidRPr="00B0582C">
              <w:rPr>
                <w:lang w:val="en-US"/>
              </w:rPr>
              <w:t>1 778 656</w:t>
            </w:r>
          </w:p>
          <w:p w:rsidR="00660512" w:rsidRPr="00B0582C" w:rsidRDefault="00660512" w:rsidP="001C5A13">
            <w:pPr>
              <w:keepNext/>
              <w:spacing w:before="40" w:after="40"/>
              <w:jc w:val="right"/>
              <w:rPr>
                <w:lang w:val="en-US"/>
              </w:rPr>
            </w:pPr>
          </w:p>
        </w:tc>
      </w:tr>
      <w:tr w:rsidR="00660512" w:rsidRPr="00B0582C" w:rsidTr="001C5A13">
        <w:trPr>
          <w:cantSplit/>
        </w:trPr>
        <w:tc>
          <w:tcPr>
            <w:tcW w:w="7479" w:type="dxa"/>
            <w:shd w:val="clear" w:color="auto" w:fill="auto"/>
          </w:tcPr>
          <w:p w:rsidR="00660512" w:rsidRPr="00B0582C" w:rsidRDefault="00660512" w:rsidP="001C5A13">
            <w:pPr>
              <w:keepNext/>
              <w:spacing w:before="40" w:after="40"/>
              <w:jc w:val="both"/>
              <w:rPr>
                <w:color w:val="FF0000"/>
              </w:rPr>
            </w:pPr>
            <w:r w:rsidRPr="00B0582C">
              <w:t>Число голосов, которыми обладали лица, принявшие участие в общем собрании, по вопросам повестки дня общего собрания:</w:t>
            </w:r>
          </w:p>
        </w:tc>
        <w:tc>
          <w:tcPr>
            <w:tcW w:w="1843" w:type="dxa"/>
            <w:shd w:val="clear" w:color="auto" w:fill="auto"/>
            <w:vAlign w:val="bottom"/>
          </w:tcPr>
          <w:p w:rsidR="00660512" w:rsidRPr="00B0582C" w:rsidRDefault="00660512" w:rsidP="001C5A13">
            <w:pPr>
              <w:keepNext/>
              <w:spacing w:before="40" w:after="40"/>
              <w:jc w:val="right"/>
            </w:pPr>
            <w:r w:rsidRPr="00B0582C">
              <w:rPr>
                <w:lang w:val="en-US"/>
              </w:rPr>
              <w:t xml:space="preserve">1 774 </w:t>
            </w:r>
            <w:r w:rsidRPr="00B0582C">
              <w:t>348</w:t>
            </w:r>
          </w:p>
          <w:p w:rsidR="00660512" w:rsidRPr="00B0582C" w:rsidRDefault="00660512" w:rsidP="001C5A13">
            <w:pPr>
              <w:keepNext/>
              <w:spacing w:before="40" w:after="40"/>
              <w:jc w:val="right"/>
              <w:rPr>
                <w:color w:val="FF0000"/>
                <w:lang w:val="en-US"/>
              </w:rPr>
            </w:pPr>
          </w:p>
        </w:tc>
      </w:tr>
      <w:tr w:rsidR="00660512" w:rsidRPr="00B0582C" w:rsidTr="001C5A13">
        <w:trPr>
          <w:cantSplit/>
        </w:trPr>
        <w:tc>
          <w:tcPr>
            <w:tcW w:w="7479" w:type="dxa"/>
            <w:shd w:val="clear" w:color="auto" w:fill="auto"/>
          </w:tcPr>
          <w:p w:rsidR="00660512" w:rsidRPr="00B0582C" w:rsidRDefault="00660512" w:rsidP="001C5A13">
            <w:pPr>
              <w:keepNext/>
              <w:spacing w:before="40" w:after="40"/>
              <w:rPr>
                <w:b/>
                <w:bCs/>
              </w:rPr>
            </w:pPr>
            <w:r w:rsidRPr="00B0582C">
              <w:rPr>
                <w:b/>
                <w:bCs/>
              </w:rPr>
              <w:t>Наличие кворума:</w:t>
            </w:r>
          </w:p>
        </w:tc>
        <w:tc>
          <w:tcPr>
            <w:tcW w:w="1843" w:type="dxa"/>
            <w:shd w:val="clear" w:color="auto" w:fill="auto"/>
            <w:vAlign w:val="bottom"/>
          </w:tcPr>
          <w:p w:rsidR="00660512" w:rsidRPr="00B0582C" w:rsidRDefault="00660512" w:rsidP="001C5A13">
            <w:pPr>
              <w:keepNext/>
              <w:spacing w:before="40" w:after="40"/>
              <w:jc w:val="center"/>
              <w:rPr>
                <w:b/>
                <w:bCs/>
                <w:lang w:val="en-US"/>
              </w:rPr>
            </w:pPr>
            <w:r w:rsidRPr="00B0582C">
              <w:rPr>
                <w:b/>
                <w:bCs/>
                <w:color w:val="FF0000"/>
              </w:rPr>
              <w:t xml:space="preserve">     </w:t>
            </w:r>
            <w:proofErr w:type="spellStart"/>
            <w:proofErr w:type="gramStart"/>
            <w:r w:rsidRPr="00B0582C">
              <w:rPr>
                <w:b/>
                <w:bCs/>
                <w:lang w:val="en-US"/>
              </w:rPr>
              <w:t>есть</w:t>
            </w:r>
            <w:proofErr w:type="spellEnd"/>
            <w:proofErr w:type="gramEnd"/>
            <w:r w:rsidRPr="00B0582C">
              <w:rPr>
                <w:b/>
                <w:bCs/>
                <w:lang w:val="en-US"/>
              </w:rPr>
              <w:t xml:space="preserve"> (99,76%)</w:t>
            </w:r>
          </w:p>
        </w:tc>
      </w:tr>
    </w:tbl>
    <w:p w:rsidR="00660512" w:rsidRPr="00B0582C" w:rsidRDefault="00660512" w:rsidP="00660512">
      <w:pPr>
        <w:jc w:val="both"/>
        <w:rPr>
          <w:b/>
        </w:rPr>
      </w:pPr>
      <w:r w:rsidRPr="00B0582C">
        <w:rPr>
          <w:b/>
        </w:rPr>
        <w:t xml:space="preserve">Информация о </w:t>
      </w:r>
      <w:r>
        <w:rPr>
          <w:b/>
        </w:rPr>
        <w:t>наличии кворума по вопросу</w:t>
      </w:r>
      <w:r w:rsidRPr="00B0582C">
        <w:rPr>
          <w:b/>
        </w:rPr>
        <w:t xml:space="preserve"> повестки дня, определенного по данным участия в общем собрании акционеров - владельцев голосующих акций**:</w:t>
      </w:r>
    </w:p>
    <w:p w:rsidR="00660512" w:rsidRPr="00B0582C" w:rsidRDefault="00660512" w:rsidP="00660512">
      <w:pPr>
        <w:jc w:val="both"/>
        <w:rPr>
          <w:b/>
        </w:rPr>
      </w:pPr>
      <w:r w:rsidRPr="00B0582C">
        <w:rPr>
          <w:b/>
        </w:rPr>
        <w:t xml:space="preserve">Информация о наличии кворума по </w:t>
      </w:r>
      <w:r>
        <w:rPr>
          <w:b/>
        </w:rPr>
        <w:t>вопросу</w:t>
      </w:r>
      <w:r w:rsidRPr="00B0582C">
        <w:rPr>
          <w:b/>
        </w:rPr>
        <w:t xml:space="preserve"> повестки дня, определенного по данным участия в общем собрании акционеров - владельцев голосующих акций, не заинтересованных в сделках**: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660512" w:rsidRPr="00B0582C" w:rsidTr="001C5A13">
        <w:trPr>
          <w:cantSplit/>
        </w:trPr>
        <w:tc>
          <w:tcPr>
            <w:tcW w:w="7521" w:type="dxa"/>
            <w:shd w:val="clear" w:color="auto" w:fill="auto"/>
          </w:tcPr>
          <w:p w:rsidR="00660512" w:rsidRPr="00B0582C" w:rsidRDefault="00660512" w:rsidP="001C5A13">
            <w:pPr>
              <w:keepNext/>
              <w:spacing w:before="40" w:after="40"/>
              <w:jc w:val="both"/>
            </w:pPr>
            <w:r w:rsidRPr="00B0582C">
              <w:t>Число голосов, которыми по данным вопросам обладали все лица, включенные в список лиц, имеющих право на участие в общем собрании, не заинтересованные в совершении обществом сделок:</w:t>
            </w:r>
          </w:p>
        </w:tc>
        <w:tc>
          <w:tcPr>
            <w:tcW w:w="1829" w:type="dxa"/>
            <w:shd w:val="clear" w:color="auto" w:fill="auto"/>
            <w:vAlign w:val="bottom"/>
          </w:tcPr>
          <w:p w:rsidR="00660512" w:rsidRPr="00B0582C" w:rsidRDefault="00660512" w:rsidP="001C5A13">
            <w:pPr>
              <w:keepNext/>
              <w:spacing w:before="40" w:after="40"/>
              <w:jc w:val="right"/>
              <w:rPr>
                <w:lang w:val="en-US"/>
              </w:rPr>
            </w:pPr>
            <w:r w:rsidRPr="00B0582C">
              <w:rPr>
                <w:lang w:val="en-US"/>
              </w:rPr>
              <w:t>1 778 656</w:t>
            </w:r>
          </w:p>
          <w:p w:rsidR="00660512" w:rsidRPr="00B0582C" w:rsidRDefault="00660512" w:rsidP="001C5A13">
            <w:pPr>
              <w:keepNext/>
              <w:spacing w:before="40" w:after="40"/>
              <w:jc w:val="right"/>
              <w:rPr>
                <w:lang w:val="en-US"/>
              </w:rPr>
            </w:pPr>
          </w:p>
        </w:tc>
      </w:tr>
      <w:tr w:rsidR="00660512" w:rsidRPr="00B0582C" w:rsidTr="001C5A13">
        <w:trPr>
          <w:cantSplit/>
        </w:trPr>
        <w:tc>
          <w:tcPr>
            <w:tcW w:w="7521" w:type="dxa"/>
            <w:shd w:val="clear" w:color="auto" w:fill="auto"/>
          </w:tcPr>
          <w:p w:rsidR="00660512" w:rsidRPr="00B0582C" w:rsidRDefault="00660512" w:rsidP="001C5A13">
            <w:pPr>
              <w:keepNext/>
              <w:spacing w:before="40" w:after="40"/>
              <w:jc w:val="both"/>
            </w:pPr>
            <w:r w:rsidRPr="00B0582C">
              <w:t>Число голосов, приходившихся на голосующие акции общества, владельцами которых являлись лица, не заинтересованные в совершении обществом сделок, определенное с учетом положений пункта 4.20 Положения, утвержденного приказом ФСФР России от 02.02.2012 г. № 12-6/</w:t>
            </w:r>
            <w:proofErr w:type="spellStart"/>
            <w:r w:rsidRPr="00B0582C">
              <w:t>пз</w:t>
            </w:r>
            <w:proofErr w:type="spellEnd"/>
            <w:r w:rsidRPr="00B0582C">
              <w:t>-н:</w:t>
            </w:r>
          </w:p>
        </w:tc>
        <w:tc>
          <w:tcPr>
            <w:tcW w:w="1829" w:type="dxa"/>
            <w:shd w:val="clear" w:color="auto" w:fill="auto"/>
            <w:vAlign w:val="bottom"/>
          </w:tcPr>
          <w:p w:rsidR="00660512" w:rsidRPr="00B0582C" w:rsidRDefault="00660512" w:rsidP="001C5A13">
            <w:pPr>
              <w:keepNext/>
              <w:spacing w:before="40" w:after="40"/>
              <w:jc w:val="right"/>
              <w:rPr>
                <w:lang w:val="en-US"/>
              </w:rPr>
            </w:pPr>
            <w:r w:rsidRPr="00B0582C">
              <w:rPr>
                <w:lang w:val="en-US"/>
              </w:rPr>
              <w:t>1 778 656</w:t>
            </w:r>
          </w:p>
          <w:p w:rsidR="00660512" w:rsidRPr="00B0582C" w:rsidRDefault="00660512" w:rsidP="001C5A13">
            <w:pPr>
              <w:keepNext/>
              <w:spacing w:before="40" w:after="40"/>
              <w:jc w:val="right"/>
              <w:rPr>
                <w:lang w:val="en-US"/>
              </w:rPr>
            </w:pPr>
          </w:p>
        </w:tc>
      </w:tr>
      <w:tr w:rsidR="00660512" w:rsidRPr="00B0582C" w:rsidTr="001C5A13">
        <w:trPr>
          <w:cantSplit/>
        </w:trPr>
        <w:tc>
          <w:tcPr>
            <w:tcW w:w="7521" w:type="dxa"/>
            <w:shd w:val="clear" w:color="auto" w:fill="auto"/>
          </w:tcPr>
          <w:p w:rsidR="00660512" w:rsidRPr="00B0582C" w:rsidRDefault="00660512" w:rsidP="001C5A13">
            <w:pPr>
              <w:keepNext/>
              <w:spacing w:before="40" w:after="40"/>
              <w:jc w:val="both"/>
            </w:pPr>
            <w:r w:rsidRPr="00B0582C">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29" w:type="dxa"/>
            <w:shd w:val="clear" w:color="auto" w:fill="auto"/>
            <w:vAlign w:val="bottom"/>
          </w:tcPr>
          <w:p w:rsidR="00660512" w:rsidRPr="00B0582C" w:rsidRDefault="00660512" w:rsidP="001C5A13">
            <w:pPr>
              <w:keepNext/>
              <w:spacing w:before="40" w:after="40"/>
              <w:jc w:val="right"/>
            </w:pPr>
            <w:r w:rsidRPr="00B0582C">
              <w:rPr>
                <w:lang w:val="en-US"/>
              </w:rPr>
              <w:t xml:space="preserve">1 774 </w:t>
            </w:r>
            <w:r w:rsidRPr="00B0582C">
              <w:t>348</w:t>
            </w:r>
          </w:p>
          <w:p w:rsidR="00660512" w:rsidRPr="00B0582C" w:rsidRDefault="00660512" w:rsidP="001C5A13">
            <w:pPr>
              <w:keepNext/>
              <w:spacing w:before="40" w:after="40"/>
              <w:jc w:val="right"/>
              <w:rPr>
                <w:lang w:val="en-US"/>
              </w:rPr>
            </w:pPr>
          </w:p>
        </w:tc>
      </w:tr>
      <w:tr w:rsidR="00660512" w:rsidRPr="00B0582C" w:rsidTr="001C5A13">
        <w:trPr>
          <w:cantSplit/>
        </w:trPr>
        <w:tc>
          <w:tcPr>
            <w:tcW w:w="7521" w:type="dxa"/>
            <w:shd w:val="clear" w:color="auto" w:fill="auto"/>
          </w:tcPr>
          <w:p w:rsidR="00660512" w:rsidRPr="00B0582C" w:rsidRDefault="00660512" w:rsidP="001C5A13">
            <w:pPr>
              <w:keepNext/>
              <w:spacing w:before="40" w:after="40"/>
              <w:rPr>
                <w:b/>
                <w:bCs/>
              </w:rPr>
            </w:pPr>
            <w:r w:rsidRPr="00B0582C">
              <w:rPr>
                <w:b/>
                <w:bCs/>
              </w:rPr>
              <w:t>Наличие кворума:</w:t>
            </w:r>
          </w:p>
        </w:tc>
        <w:tc>
          <w:tcPr>
            <w:tcW w:w="1829" w:type="dxa"/>
            <w:shd w:val="clear" w:color="auto" w:fill="auto"/>
            <w:vAlign w:val="bottom"/>
          </w:tcPr>
          <w:p w:rsidR="00660512" w:rsidRPr="00B0582C" w:rsidRDefault="00660512" w:rsidP="001C5A13">
            <w:pPr>
              <w:keepNext/>
              <w:spacing w:before="40" w:after="40"/>
              <w:jc w:val="center"/>
              <w:rPr>
                <w:b/>
                <w:bCs/>
                <w:lang w:val="en-US"/>
              </w:rPr>
            </w:pPr>
            <w:proofErr w:type="spellStart"/>
            <w:proofErr w:type="gramStart"/>
            <w:r w:rsidRPr="00B0582C">
              <w:rPr>
                <w:b/>
                <w:bCs/>
                <w:lang w:val="en-US"/>
              </w:rPr>
              <w:t>есть</w:t>
            </w:r>
            <w:proofErr w:type="spellEnd"/>
            <w:proofErr w:type="gramEnd"/>
            <w:r w:rsidRPr="00B0582C">
              <w:rPr>
                <w:b/>
                <w:bCs/>
                <w:lang w:val="en-US"/>
              </w:rPr>
              <w:t xml:space="preserve"> (99,76%)</w:t>
            </w:r>
          </w:p>
        </w:tc>
      </w:tr>
    </w:tbl>
    <w:p w:rsidR="00660512" w:rsidRPr="007C3B18" w:rsidRDefault="00660512" w:rsidP="00660512">
      <w:pPr>
        <w:jc w:val="both"/>
        <w:rPr>
          <w:i/>
          <w:sz w:val="20"/>
          <w:szCs w:val="20"/>
        </w:rPr>
      </w:pPr>
      <w:r w:rsidRPr="007C3B18">
        <w:rPr>
          <w:i/>
          <w:sz w:val="20"/>
          <w:szCs w:val="20"/>
        </w:rPr>
        <w:t>** 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660512" w:rsidRPr="00A41B09" w:rsidRDefault="00660512" w:rsidP="00660512">
      <w:pPr>
        <w:overflowPunct w:val="0"/>
        <w:autoSpaceDE w:val="0"/>
        <w:autoSpaceDN w:val="0"/>
        <w:adjustRightInd w:val="0"/>
        <w:spacing w:before="60"/>
        <w:jc w:val="both"/>
      </w:pPr>
      <w:r w:rsidRPr="00A41B09">
        <w:t>Кворум для провед</w:t>
      </w:r>
      <w:r>
        <w:t>ения собрания и принятия решения по вопросу</w:t>
      </w:r>
      <w:r w:rsidRPr="00A41B09">
        <w:t xml:space="preserve"> повестки дня имеется.</w:t>
      </w:r>
    </w:p>
    <w:p w:rsidR="00660512" w:rsidRDefault="00660512" w:rsidP="00660512">
      <w:pPr>
        <w:spacing w:before="60"/>
        <w:jc w:val="center"/>
        <w:rPr>
          <w:b/>
          <w:u w:val="single"/>
        </w:rPr>
      </w:pPr>
      <w:r w:rsidRPr="00FE0565">
        <w:rPr>
          <w:b/>
          <w:u w:val="single"/>
        </w:rPr>
        <w:t>Повестка дня внеочередного общего собрания акционеров:</w:t>
      </w:r>
    </w:p>
    <w:p w:rsidR="001A641F" w:rsidRPr="00FE0565" w:rsidRDefault="001A641F" w:rsidP="00660512">
      <w:pPr>
        <w:spacing w:before="60"/>
        <w:jc w:val="center"/>
        <w:rPr>
          <w:b/>
          <w:u w:val="single"/>
        </w:rPr>
      </w:pPr>
    </w:p>
    <w:p w:rsidR="001A641F" w:rsidRPr="001A641F" w:rsidRDefault="001A641F" w:rsidP="001A641F">
      <w:pPr>
        <w:ind w:firstLine="708"/>
        <w:jc w:val="both"/>
        <w:rPr>
          <w:sz w:val="22"/>
        </w:rPr>
      </w:pPr>
      <w:r>
        <w:rPr>
          <w:sz w:val="22"/>
        </w:rPr>
        <w:t xml:space="preserve">1. </w:t>
      </w:r>
      <w:r w:rsidRPr="001A641F">
        <w:rPr>
          <w:sz w:val="22"/>
        </w:rPr>
        <w:t>О последующем одобрении крупной сделки, в совершении которой имеется заинтересованность - заключении Дополнения № 1 от 15.06.2017г. к Договору поручительства №001/0788</w:t>
      </w:r>
      <w:r w:rsidRPr="001A641F">
        <w:rPr>
          <w:sz w:val="22"/>
          <w:lang w:val="en-US"/>
        </w:rPr>
        <w:t>Z</w:t>
      </w:r>
      <w:r w:rsidRPr="001A641F">
        <w:rPr>
          <w:sz w:val="22"/>
        </w:rPr>
        <w:t>/15 от «09» июня 2015 года между АО «</w:t>
      </w:r>
      <w:proofErr w:type="spellStart"/>
      <w:r w:rsidRPr="001A641F">
        <w:rPr>
          <w:sz w:val="22"/>
        </w:rPr>
        <w:t>Сибнефтемаш</w:t>
      </w:r>
      <w:proofErr w:type="spellEnd"/>
      <w:r w:rsidRPr="001A641F">
        <w:rPr>
          <w:sz w:val="22"/>
        </w:rPr>
        <w:t xml:space="preserve">» и </w:t>
      </w:r>
      <w:r w:rsidR="00340D8D">
        <w:rPr>
          <w:sz w:val="22"/>
        </w:rPr>
        <w:t>АО «</w:t>
      </w:r>
      <w:proofErr w:type="spellStart"/>
      <w:r w:rsidR="00340D8D">
        <w:rPr>
          <w:sz w:val="22"/>
        </w:rPr>
        <w:t>ЮниКредит</w:t>
      </w:r>
      <w:proofErr w:type="spellEnd"/>
      <w:r w:rsidR="00340D8D">
        <w:rPr>
          <w:sz w:val="22"/>
        </w:rPr>
        <w:t xml:space="preserve"> </w:t>
      </w:r>
      <w:r w:rsidRPr="001A641F">
        <w:rPr>
          <w:sz w:val="22"/>
        </w:rPr>
        <w:t>Банк», заключенному в обеспечение исполнения обязательств АО «ГИДРОМАШСЕРВИС» по Соглашению №001/0169L/15 о специальных условиях предоставления револьверной линии для осуществления документарных операций от «30» апреля 2015г. между АО «ГИДРОМАШСЕРВИС» и АО «</w:t>
      </w:r>
      <w:proofErr w:type="spellStart"/>
      <w:r w:rsidRPr="001A641F">
        <w:rPr>
          <w:sz w:val="22"/>
        </w:rPr>
        <w:t>ЮниКредит</w:t>
      </w:r>
      <w:proofErr w:type="spellEnd"/>
      <w:r w:rsidRPr="001A641F">
        <w:rPr>
          <w:sz w:val="22"/>
        </w:rPr>
        <w:t xml:space="preserve"> Банк».</w:t>
      </w:r>
    </w:p>
    <w:p w:rsidR="00660512" w:rsidRPr="00FE0565" w:rsidRDefault="00660512" w:rsidP="00660512">
      <w:pPr>
        <w:spacing w:before="60"/>
        <w:jc w:val="center"/>
        <w:rPr>
          <w:b/>
          <w:u w:val="single"/>
        </w:rPr>
      </w:pPr>
    </w:p>
    <w:p w:rsidR="00660512" w:rsidRDefault="00660512" w:rsidP="00660512">
      <w:pPr>
        <w:spacing w:before="60"/>
        <w:rPr>
          <w:b/>
          <w:sz w:val="22"/>
          <w:szCs w:val="22"/>
        </w:rPr>
      </w:pPr>
    </w:p>
    <w:p w:rsidR="00660512" w:rsidRPr="00C259A4" w:rsidRDefault="00660512" w:rsidP="00660512">
      <w:pPr>
        <w:jc w:val="center"/>
        <w:rPr>
          <w:b/>
          <w:u w:val="single"/>
        </w:rPr>
      </w:pPr>
      <w:r w:rsidRPr="00C259A4">
        <w:rPr>
          <w:b/>
          <w:u w:val="single"/>
        </w:rPr>
        <w:lastRenderedPageBreak/>
        <w:t>Результат голосования и формулировка решения</w:t>
      </w:r>
    </w:p>
    <w:p w:rsidR="00660512" w:rsidRPr="00C259A4" w:rsidRDefault="00855C25" w:rsidP="00660512">
      <w:pPr>
        <w:jc w:val="center"/>
        <w:rPr>
          <w:b/>
          <w:u w:val="single"/>
        </w:rPr>
      </w:pPr>
      <w:r>
        <w:rPr>
          <w:b/>
          <w:u w:val="single"/>
        </w:rPr>
        <w:t>по вопросу</w:t>
      </w:r>
      <w:r w:rsidR="00660512" w:rsidRPr="00C259A4">
        <w:rPr>
          <w:b/>
          <w:u w:val="single"/>
        </w:rPr>
        <w:t xml:space="preserve"> повестки дня внеочередного общего собрания акционеров Общества:</w:t>
      </w:r>
    </w:p>
    <w:p w:rsidR="0052718D" w:rsidRPr="001A641F" w:rsidRDefault="00660512" w:rsidP="0052718D">
      <w:pPr>
        <w:spacing w:before="120" w:after="120"/>
        <w:jc w:val="both"/>
        <w:rPr>
          <w:b/>
          <w:caps/>
        </w:rPr>
      </w:pPr>
      <w:r w:rsidRPr="00C259A4">
        <w:rPr>
          <w:b/>
          <w:caps/>
        </w:rPr>
        <w:t xml:space="preserve">По вопросу № 1: </w:t>
      </w:r>
      <w:r w:rsidR="0052718D">
        <w:rPr>
          <w:b/>
          <w:caps/>
        </w:rPr>
        <w:t xml:space="preserve"> </w:t>
      </w:r>
      <w:r w:rsidR="0052718D" w:rsidRPr="001A641F">
        <w:rPr>
          <w:sz w:val="22"/>
        </w:rPr>
        <w:t>О последующем одобрении крупной сделки, в совершении которой имеется заинтересованность - заключении Дополнения № 1 от 15.06.2017г. к Договору поручительства №001/0788</w:t>
      </w:r>
      <w:r w:rsidR="0052718D" w:rsidRPr="001A641F">
        <w:rPr>
          <w:sz w:val="22"/>
          <w:lang w:val="en-US"/>
        </w:rPr>
        <w:t>Z</w:t>
      </w:r>
      <w:r w:rsidR="0052718D" w:rsidRPr="001A641F">
        <w:rPr>
          <w:sz w:val="22"/>
        </w:rPr>
        <w:t>/15 от «09» июня 2015 года между АО «</w:t>
      </w:r>
      <w:proofErr w:type="spellStart"/>
      <w:r w:rsidR="0052718D" w:rsidRPr="001A641F">
        <w:rPr>
          <w:sz w:val="22"/>
        </w:rPr>
        <w:t>Сибнефтемаш</w:t>
      </w:r>
      <w:proofErr w:type="spellEnd"/>
      <w:r w:rsidR="0052718D" w:rsidRPr="001A641F">
        <w:rPr>
          <w:sz w:val="22"/>
        </w:rPr>
        <w:t xml:space="preserve">» и </w:t>
      </w:r>
      <w:r w:rsidR="0052718D">
        <w:rPr>
          <w:sz w:val="22"/>
        </w:rPr>
        <w:t>АО «</w:t>
      </w:r>
      <w:proofErr w:type="spellStart"/>
      <w:r w:rsidR="0052718D">
        <w:rPr>
          <w:sz w:val="22"/>
        </w:rPr>
        <w:t>ЮниКредит</w:t>
      </w:r>
      <w:proofErr w:type="spellEnd"/>
      <w:r w:rsidR="0052718D">
        <w:rPr>
          <w:sz w:val="22"/>
        </w:rPr>
        <w:t xml:space="preserve"> </w:t>
      </w:r>
      <w:r w:rsidR="0052718D" w:rsidRPr="001A641F">
        <w:rPr>
          <w:sz w:val="22"/>
        </w:rPr>
        <w:t>Банк», заключенному в обеспечение исполнения обязательств АО «ГИДРОМАШСЕРВИС» по Соглашению №001/0169L/15 о специальных условиях предоставления револьверной линии для осуществления документарных операций от «30» апреля 2015г. между АО «ГИДРОМАШСЕРВИС» и АО «</w:t>
      </w:r>
      <w:proofErr w:type="spellStart"/>
      <w:r w:rsidR="0052718D" w:rsidRPr="001A641F">
        <w:rPr>
          <w:sz w:val="22"/>
        </w:rPr>
        <w:t>ЮниКредит</w:t>
      </w:r>
      <w:proofErr w:type="spellEnd"/>
      <w:r w:rsidR="0052718D" w:rsidRPr="001A641F">
        <w:rPr>
          <w:sz w:val="22"/>
        </w:rPr>
        <w:t xml:space="preserve"> Банк».</w:t>
      </w:r>
    </w:p>
    <w:p w:rsidR="00660512" w:rsidRPr="005D3318" w:rsidRDefault="00660512" w:rsidP="00660512">
      <w:pPr>
        <w:spacing w:before="120" w:after="120"/>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660512" w:rsidTr="001C5A1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60512" w:rsidRDefault="00660512" w:rsidP="001C5A13">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0512" w:rsidRDefault="00660512" w:rsidP="001C5A13">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0512" w:rsidRDefault="00660512" w:rsidP="001C5A13">
            <w:pPr>
              <w:overflowPunct w:val="0"/>
              <w:autoSpaceDE w:val="0"/>
              <w:autoSpaceDN w:val="0"/>
              <w:adjustRightInd w:val="0"/>
              <w:jc w:val="center"/>
              <w:rPr>
                <w:sz w:val="22"/>
                <w:szCs w:val="22"/>
              </w:rPr>
            </w:pPr>
            <w:r>
              <w:rPr>
                <w:sz w:val="22"/>
                <w:szCs w:val="22"/>
              </w:rPr>
              <w:t>Сделка с заинтересованностью</w:t>
            </w:r>
          </w:p>
        </w:tc>
      </w:tr>
      <w:tr w:rsidR="00660512" w:rsidTr="001C5A1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0512" w:rsidRDefault="00660512" w:rsidP="001C5A13">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0512" w:rsidRDefault="00660512" w:rsidP="001C5A13">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0512" w:rsidRDefault="00660512" w:rsidP="001C5A13">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0512" w:rsidRDefault="00660512" w:rsidP="001C5A13">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0512" w:rsidRDefault="00660512" w:rsidP="001C5A13">
            <w:pPr>
              <w:overflowPunct w:val="0"/>
              <w:autoSpaceDE w:val="0"/>
              <w:autoSpaceDN w:val="0"/>
              <w:adjustRightInd w:val="0"/>
              <w:jc w:val="center"/>
              <w:rPr>
                <w:b/>
                <w:sz w:val="22"/>
                <w:szCs w:val="22"/>
              </w:rPr>
            </w:pPr>
            <w:r>
              <w:rPr>
                <w:b/>
                <w:sz w:val="22"/>
                <w:szCs w:val="22"/>
              </w:rPr>
              <w:t>%</w:t>
            </w:r>
          </w:p>
        </w:tc>
      </w:tr>
      <w:tr w:rsidR="00660512" w:rsidTr="001C5A1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660512" w:rsidRDefault="00660512" w:rsidP="001C5A13">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660512" w:rsidRPr="00310CE2" w:rsidRDefault="00660512" w:rsidP="001C5A13">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660512" w:rsidRDefault="00660512" w:rsidP="001C5A13">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660512" w:rsidRDefault="00660512" w:rsidP="001C5A13">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660512" w:rsidRDefault="00660512" w:rsidP="001C5A13">
            <w:pPr>
              <w:overflowPunct w:val="0"/>
              <w:autoSpaceDE w:val="0"/>
              <w:autoSpaceDN w:val="0"/>
              <w:adjustRightInd w:val="0"/>
              <w:jc w:val="right"/>
              <w:rPr>
                <w:bCs/>
                <w:sz w:val="22"/>
                <w:szCs w:val="22"/>
              </w:rPr>
            </w:pPr>
            <w:r>
              <w:rPr>
                <w:bCs/>
                <w:sz w:val="22"/>
                <w:szCs w:val="22"/>
              </w:rPr>
              <w:t>100</w:t>
            </w:r>
          </w:p>
        </w:tc>
      </w:tr>
      <w:tr w:rsidR="00660512" w:rsidTr="001C5A1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660512" w:rsidRDefault="00660512" w:rsidP="001C5A13">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660512" w:rsidRDefault="00660512" w:rsidP="001C5A13">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660512" w:rsidRDefault="00660512" w:rsidP="001C5A13">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660512" w:rsidRDefault="00660512" w:rsidP="001C5A13">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660512" w:rsidRDefault="00660512" w:rsidP="001C5A13">
            <w:pPr>
              <w:overflowPunct w:val="0"/>
              <w:autoSpaceDE w:val="0"/>
              <w:autoSpaceDN w:val="0"/>
              <w:adjustRightInd w:val="0"/>
              <w:jc w:val="right"/>
              <w:rPr>
                <w:sz w:val="22"/>
                <w:szCs w:val="22"/>
              </w:rPr>
            </w:pPr>
            <w:r>
              <w:rPr>
                <w:sz w:val="22"/>
                <w:szCs w:val="22"/>
              </w:rPr>
              <w:t>0</w:t>
            </w:r>
          </w:p>
        </w:tc>
      </w:tr>
      <w:tr w:rsidR="00660512" w:rsidTr="001C5A1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660512" w:rsidRDefault="00660512" w:rsidP="001C5A13">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660512" w:rsidRDefault="00660512" w:rsidP="001C5A13">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660512" w:rsidRDefault="00660512" w:rsidP="001C5A13">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660512" w:rsidRDefault="00660512" w:rsidP="001C5A13">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660512" w:rsidRDefault="00660512" w:rsidP="001C5A13">
            <w:pPr>
              <w:overflowPunct w:val="0"/>
              <w:autoSpaceDE w:val="0"/>
              <w:autoSpaceDN w:val="0"/>
              <w:adjustRightInd w:val="0"/>
              <w:jc w:val="right"/>
              <w:rPr>
                <w:sz w:val="22"/>
                <w:szCs w:val="22"/>
              </w:rPr>
            </w:pPr>
            <w:r>
              <w:rPr>
                <w:sz w:val="22"/>
                <w:szCs w:val="22"/>
              </w:rPr>
              <w:t>0</w:t>
            </w:r>
          </w:p>
        </w:tc>
      </w:tr>
    </w:tbl>
    <w:p w:rsidR="00660512" w:rsidRDefault="00660512" w:rsidP="00660512">
      <w:pPr>
        <w:tabs>
          <w:tab w:val="left" w:pos="9000"/>
        </w:tabs>
        <w:rPr>
          <w:b/>
          <w:bCs/>
          <w:sz w:val="20"/>
          <w:szCs w:val="20"/>
        </w:rPr>
      </w:pPr>
    </w:p>
    <w:p w:rsidR="00660512" w:rsidRPr="001812D3" w:rsidRDefault="00660512" w:rsidP="00660512">
      <w:pPr>
        <w:tabs>
          <w:tab w:val="left" w:pos="9000"/>
        </w:tabs>
        <w:rPr>
          <w:b/>
          <w:bCs/>
        </w:rPr>
      </w:pPr>
      <w:r w:rsidRPr="001812D3">
        <w:rPr>
          <w:b/>
          <w:bCs/>
        </w:rPr>
        <w:t>Кворум для принятия решения по данному вопросу имеется.</w:t>
      </w:r>
    </w:p>
    <w:p w:rsidR="00660512" w:rsidRDefault="00660512" w:rsidP="00660512">
      <w:pPr>
        <w:tabs>
          <w:tab w:val="left" w:pos="2660"/>
          <w:tab w:val="left" w:pos="10704"/>
        </w:tabs>
        <w:spacing w:before="120"/>
        <w:jc w:val="both"/>
      </w:pPr>
      <w:r w:rsidRPr="001812D3">
        <w:rPr>
          <w:b/>
        </w:rPr>
        <w:t>Принято решение</w:t>
      </w:r>
      <w:r w:rsidRPr="001812D3">
        <w:t xml:space="preserve">: </w:t>
      </w:r>
    </w:p>
    <w:p w:rsidR="00DE0AF8" w:rsidRPr="00DE0AF8" w:rsidRDefault="00DE0AF8" w:rsidP="00DE0AF8">
      <w:pPr>
        <w:pStyle w:val="ListParagraph"/>
        <w:ind w:left="0"/>
        <w:jc w:val="both"/>
        <w:rPr>
          <w:sz w:val="22"/>
          <w:szCs w:val="22"/>
        </w:rPr>
      </w:pPr>
      <w:r w:rsidRPr="00D32570">
        <w:rPr>
          <w:sz w:val="24"/>
          <w:szCs w:val="24"/>
        </w:rPr>
        <w:t xml:space="preserve">Принять решение об одобрении крупной сделки, в совершении которой имеется </w:t>
      </w:r>
      <w:r w:rsidRPr="00DE0AF8">
        <w:rPr>
          <w:sz w:val="24"/>
          <w:szCs w:val="24"/>
        </w:rPr>
        <w:t>заинтересованность - заключении Дополнения № 1 от 15.06.2017г. к Договору поручительства №001/0788</w:t>
      </w:r>
      <w:r w:rsidRPr="00DE0AF8">
        <w:rPr>
          <w:sz w:val="24"/>
          <w:szCs w:val="24"/>
          <w:lang w:val="en-US"/>
        </w:rPr>
        <w:t>Z</w:t>
      </w:r>
      <w:r w:rsidRPr="00DE0AF8">
        <w:rPr>
          <w:sz w:val="24"/>
          <w:szCs w:val="24"/>
        </w:rPr>
        <w:t>/15 от «09» июня 2015 года между АО «</w:t>
      </w:r>
      <w:proofErr w:type="spellStart"/>
      <w:r w:rsidRPr="00DE0AF8">
        <w:rPr>
          <w:sz w:val="24"/>
          <w:szCs w:val="24"/>
        </w:rPr>
        <w:t>Сибнефтемаш</w:t>
      </w:r>
      <w:proofErr w:type="spellEnd"/>
      <w:r w:rsidRPr="00DE0AF8">
        <w:rPr>
          <w:sz w:val="24"/>
          <w:szCs w:val="24"/>
        </w:rPr>
        <w:t>» и АО «</w:t>
      </w:r>
      <w:proofErr w:type="spellStart"/>
      <w:r w:rsidRPr="00DE0AF8">
        <w:rPr>
          <w:sz w:val="24"/>
          <w:szCs w:val="24"/>
        </w:rPr>
        <w:t>ЮниКредит</w:t>
      </w:r>
      <w:proofErr w:type="spellEnd"/>
      <w:r w:rsidRPr="00DE0AF8">
        <w:rPr>
          <w:sz w:val="24"/>
          <w:szCs w:val="24"/>
        </w:rPr>
        <w:t xml:space="preserve"> Банк», заключенному в обеспечение исполнения обязательств АО «ГИДРОМАШСЕРВИС» по Соглашению №001/0169L/15 о специальных условиях предоставления револьверной линии для осуществления документарных операций от </w:t>
      </w:r>
      <w:r w:rsidRPr="00DE0AF8">
        <w:t xml:space="preserve"> </w:t>
      </w:r>
      <w:r w:rsidRPr="00DE0AF8">
        <w:rPr>
          <w:sz w:val="24"/>
          <w:szCs w:val="24"/>
        </w:rPr>
        <w:t>«30» апреля 2015г. между АО «ГИДРОМАШСЕРВИС» и</w:t>
      </w:r>
      <w:r w:rsidR="00A97D6F">
        <w:rPr>
          <w:sz w:val="24"/>
          <w:szCs w:val="24"/>
        </w:rPr>
        <w:t xml:space="preserve"> АО «</w:t>
      </w:r>
      <w:proofErr w:type="spellStart"/>
      <w:r w:rsidR="00A97D6F">
        <w:rPr>
          <w:sz w:val="24"/>
          <w:szCs w:val="24"/>
        </w:rPr>
        <w:t>ЮниКредит</w:t>
      </w:r>
      <w:proofErr w:type="spellEnd"/>
      <w:r w:rsidR="00A97D6F">
        <w:rPr>
          <w:sz w:val="24"/>
          <w:szCs w:val="24"/>
        </w:rPr>
        <w:t xml:space="preserve"> Банк» </w:t>
      </w:r>
      <w:r w:rsidRPr="00DE0AF8">
        <w:rPr>
          <w:sz w:val="22"/>
          <w:szCs w:val="22"/>
        </w:rPr>
        <w:t>на следующих условиях:</w:t>
      </w:r>
    </w:p>
    <w:p w:rsidR="00DE0AF8" w:rsidRPr="00DE0AF8" w:rsidRDefault="00DE0AF8" w:rsidP="00DE0AF8">
      <w:pPr>
        <w:pStyle w:val="ListParagraph"/>
        <w:ind w:left="0"/>
        <w:jc w:val="both"/>
        <w:rPr>
          <w:sz w:val="22"/>
          <w:szCs w:val="22"/>
        </w:rPr>
      </w:pPr>
      <w:r w:rsidRPr="00DE0AF8">
        <w:rPr>
          <w:sz w:val="22"/>
          <w:szCs w:val="22"/>
        </w:rPr>
        <w:t>Стороны сделки:</w:t>
      </w:r>
    </w:p>
    <w:p w:rsidR="00DE0AF8" w:rsidRPr="00DE0AF8" w:rsidRDefault="00DE0AF8" w:rsidP="00DE0AF8">
      <w:pPr>
        <w:pStyle w:val="ac"/>
        <w:spacing w:before="0" w:beforeAutospacing="0" w:after="0" w:afterAutospacing="0"/>
        <w:contextualSpacing/>
        <w:jc w:val="both"/>
        <w:rPr>
          <w:iCs/>
          <w:sz w:val="22"/>
          <w:szCs w:val="22"/>
        </w:rPr>
      </w:pPr>
      <w:r w:rsidRPr="00DE0AF8">
        <w:rPr>
          <w:bCs/>
          <w:sz w:val="22"/>
          <w:szCs w:val="22"/>
        </w:rPr>
        <w:t xml:space="preserve">Банк: </w:t>
      </w:r>
      <w:r w:rsidRPr="00DE0AF8">
        <w:rPr>
          <w:sz w:val="22"/>
          <w:szCs w:val="22"/>
        </w:rPr>
        <w:t>Акционерное общество «</w:t>
      </w:r>
      <w:proofErr w:type="spellStart"/>
      <w:r w:rsidRPr="00DE0AF8">
        <w:rPr>
          <w:sz w:val="22"/>
          <w:szCs w:val="22"/>
        </w:rPr>
        <w:t>ЮниКредит</w:t>
      </w:r>
      <w:proofErr w:type="spellEnd"/>
      <w:r w:rsidRPr="00DE0AF8">
        <w:rPr>
          <w:sz w:val="22"/>
          <w:szCs w:val="22"/>
        </w:rPr>
        <w:t xml:space="preserve"> Банк»</w:t>
      </w:r>
      <w:r w:rsidRPr="00DE0AF8">
        <w:rPr>
          <w:iCs/>
          <w:sz w:val="22"/>
          <w:szCs w:val="22"/>
        </w:rPr>
        <w:t>;</w:t>
      </w:r>
    </w:p>
    <w:p w:rsidR="00DE0AF8" w:rsidRPr="00DE0AF8" w:rsidRDefault="00DE0AF8" w:rsidP="00B65AF6">
      <w:pPr>
        <w:pStyle w:val="ac"/>
        <w:spacing w:before="0" w:beforeAutospacing="0" w:after="0" w:afterAutospacing="0"/>
        <w:contextualSpacing/>
        <w:jc w:val="both"/>
        <w:rPr>
          <w:iCs/>
          <w:sz w:val="22"/>
          <w:szCs w:val="22"/>
        </w:rPr>
      </w:pPr>
      <w:r w:rsidRPr="00DE0AF8">
        <w:rPr>
          <w:iCs/>
          <w:sz w:val="22"/>
          <w:szCs w:val="22"/>
        </w:rPr>
        <w:t>Принципал: АО «ГИДРОМАШСЕРВИС»;</w:t>
      </w:r>
    </w:p>
    <w:p w:rsidR="00DE0AF8" w:rsidRPr="00DE0AF8" w:rsidRDefault="00DE0AF8" w:rsidP="00B65AF6">
      <w:pPr>
        <w:pStyle w:val="ac"/>
        <w:spacing w:before="0" w:beforeAutospacing="0" w:after="0" w:afterAutospacing="0"/>
        <w:contextualSpacing/>
        <w:jc w:val="both"/>
        <w:rPr>
          <w:iCs/>
          <w:sz w:val="22"/>
          <w:szCs w:val="22"/>
        </w:rPr>
      </w:pPr>
      <w:r w:rsidRPr="00DE0AF8">
        <w:rPr>
          <w:iCs/>
          <w:sz w:val="22"/>
          <w:szCs w:val="22"/>
        </w:rPr>
        <w:t>Поручитель: АО «</w:t>
      </w:r>
      <w:proofErr w:type="spellStart"/>
      <w:r w:rsidRPr="00DE0AF8">
        <w:rPr>
          <w:iCs/>
          <w:sz w:val="22"/>
          <w:szCs w:val="22"/>
        </w:rPr>
        <w:t>Сибнефтемаш</w:t>
      </w:r>
      <w:proofErr w:type="spellEnd"/>
      <w:r w:rsidRPr="00DE0AF8">
        <w:rPr>
          <w:iCs/>
          <w:sz w:val="22"/>
          <w:szCs w:val="22"/>
        </w:rPr>
        <w:t>»</w:t>
      </w:r>
    </w:p>
    <w:p w:rsidR="00DE0AF8" w:rsidRPr="00DE0AF8" w:rsidRDefault="00DE0AF8" w:rsidP="00B65AF6">
      <w:pPr>
        <w:pStyle w:val="ac"/>
        <w:spacing w:before="0" w:beforeAutospacing="0" w:after="0" w:afterAutospacing="0"/>
        <w:contextualSpacing/>
        <w:jc w:val="both"/>
        <w:rPr>
          <w:bCs/>
          <w:sz w:val="22"/>
          <w:szCs w:val="22"/>
        </w:rPr>
      </w:pPr>
      <w:r w:rsidRPr="00DE0AF8">
        <w:rPr>
          <w:bCs/>
          <w:sz w:val="22"/>
          <w:szCs w:val="22"/>
        </w:rPr>
        <w:t>Существенные условия сделки:</w:t>
      </w:r>
    </w:p>
    <w:p w:rsidR="00DE0AF8" w:rsidRDefault="00B65AF6" w:rsidP="00B65AF6">
      <w:pPr>
        <w:spacing w:line="240" w:lineRule="atLeast"/>
        <w:jc w:val="both"/>
        <w:rPr>
          <w:sz w:val="22"/>
          <w:szCs w:val="22"/>
        </w:rPr>
      </w:pPr>
      <w:r>
        <w:rPr>
          <w:sz w:val="22"/>
          <w:szCs w:val="22"/>
        </w:rPr>
        <w:t xml:space="preserve">1. </w:t>
      </w:r>
      <w:r w:rsidR="00DE0AF8">
        <w:rPr>
          <w:sz w:val="22"/>
          <w:szCs w:val="22"/>
        </w:rPr>
        <w:t>Срок действия Соглашения</w:t>
      </w:r>
      <w:r w:rsidR="00DE0AF8" w:rsidRPr="00D32570">
        <w:t>№001/0169L/15 о специальных условиях предоставления револьверной линии для осуществления документарных операций от «30» апреля 2015г.</w:t>
      </w:r>
      <w:r w:rsidR="00DE0AF8">
        <w:rPr>
          <w:sz w:val="22"/>
          <w:szCs w:val="22"/>
        </w:rPr>
        <w:t xml:space="preserve"> – до «15» июня 2022г.</w:t>
      </w:r>
      <w:r>
        <w:rPr>
          <w:sz w:val="22"/>
          <w:szCs w:val="22"/>
        </w:rPr>
        <w:t xml:space="preserve"> </w:t>
      </w:r>
      <w:r w:rsidR="00DE0AF8">
        <w:rPr>
          <w:sz w:val="22"/>
          <w:szCs w:val="22"/>
        </w:rPr>
        <w:t>Датой окончания периода использования по Соглашению является «15» июня 2022г.</w:t>
      </w:r>
    </w:p>
    <w:p w:rsidR="00DE0AF8" w:rsidRDefault="00B65AF6" w:rsidP="00B65AF6">
      <w:pPr>
        <w:spacing w:line="240" w:lineRule="atLeast"/>
        <w:jc w:val="both"/>
        <w:rPr>
          <w:sz w:val="22"/>
          <w:szCs w:val="22"/>
        </w:rPr>
      </w:pPr>
      <w:r>
        <w:rPr>
          <w:sz w:val="22"/>
          <w:szCs w:val="22"/>
        </w:rPr>
        <w:t xml:space="preserve">2. </w:t>
      </w:r>
      <w:r w:rsidR="00DE0AF8">
        <w:rPr>
          <w:sz w:val="22"/>
          <w:szCs w:val="22"/>
        </w:rPr>
        <w:t>Уплачиваемая комиссия</w:t>
      </w:r>
      <w:r w:rsidR="00DE0AF8" w:rsidRPr="006F527E">
        <w:rPr>
          <w:sz w:val="22"/>
          <w:szCs w:val="22"/>
        </w:rPr>
        <w:t xml:space="preserve"> </w:t>
      </w:r>
      <w:r w:rsidR="00DE0AF8">
        <w:rPr>
          <w:sz w:val="22"/>
          <w:szCs w:val="22"/>
        </w:rPr>
        <w:t>Принципалом</w:t>
      </w:r>
      <w:r w:rsidR="00DE0AF8" w:rsidRPr="006F527E">
        <w:rPr>
          <w:sz w:val="22"/>
          <w:szCs w:val="22"/>
        </w:rPr>
        <w:t xml:space="preserve"> Банку за открытие/выдачу, увеличение суммы, продление срока действия аккредитива/гарантии в размере, не более 2,5% (Две целых пять десятых процентов) годовых, начисляемую на сумму аккредитива/гарантии, сумму увеличения суммы аккредитива/ гарантии, но не менее 200,00 (Двести) Долларов США или эквивалента этой суммы в другой валюте по курсу Банка России на дату платежа, за каждый период, состоящий из 90 (Девяносто) последовательных календарных дней или его част</w:t>
      </w:r>
      <w:r w:rsidR="00DE0AF8">
        <w:rPr>
          <w:sz w:val="22"/>
          <w:szCs w:val="22"/>
        </w:rPr>
        <w:t>и.</w:t>
      </w:r>
    </w:p>
    <w:p w:rsidR="00DE0AF8" w:rsidRDefault="00B65AF6" w:rsidP="00B65AF6">
      <w:pPr>
        <w:ind w:right="-5"/>
        <w:jc w:val="both"/>
        <w:rPr>
          <w:i/>
          <w:sz w:val="22"/>
          <w:szCs w:val="22"/>
        </w:rPr>
      </w:pPr>
      <w:r>
        <w:rPr>
          <w:sz w:val="22"/>
          <w:szCs w:val="22"/>
        </w:rPr>
        <w:t xml:space="preserve">3. </w:t>
      </w:r>
      <w:r w:rsidR="00DE0AF8">
        <w:rPr>
          <w:sz w:val="22"/>
          <w:szCs w:val="22"/>
        </w:rPr>
        <w:t xml:space="preserve">Срок действия </w:t>
      </w:r>
      <w:r w:rsidR="00DE0AF8" w:rsidRPr="00D32570">
        <w:t>Договору поручительства №001/0788</w:t>
      </w:r>
      <w:r w:rsidR="00DE0AF8" w:rsidRPr="00D32570">
        <w:rPr>
          <w:lang w:val="en-US"/>
        </w:rPr>
        <w:t>Z</w:t>
      </w:r>
      <w:r w:rsidR="00DE0AF8" w:rsidRPr="00D32570">
        <w:t>/15 от «09» июня 2015 года</w:t>
      </w:r>
      <w:r w:rsidR="00DE0AF8">
        <w:rPr>
          <w:sz w:val="22"/>
          <w:szCs w:val="22"/>
        </w:rPr>
        <w:t xml:space="preserve"> – до «15» июня 2025г.</w:t>
      </w:r>
    </w:p>
    <w:p w:rsidR="00660512" w:rsidRPr="00FC68C3" w:rsidRDefault="00660512" w:rsidP="00660512">
      <w:pPr>
        <w:ind w:right="-5"/>
        <w:jc w:val="both"/>
        <w:rPr>
          <w:i/>
          <w:sz w:val="22"/>
          <w:szCs w:val="22"/>
        </w:rPr>
      </w:pPr>
      <w:r w:rsidRPr="00FC68C3">
        <w:rPr>
          <w:i/>
          <w:sz w:val="22"/>
          <w:szCs w:val="22"/>
        </w:rPr>
        <w:t xml:space="preserve">Согласно п.6 ст.83 Федерального закона </w:t>
      </w:r>
      <w:r w:rsidRPr="00FC68C3">
        <w:rPr>
          <w:i/>
          <w:iCs/>
          <w:sz w:val="22"/>
          <w:szCs w:val="22"/>
        </w:rPr>
        <w:t>от 26.12.1995 N 208-ФЗ «Об акционерных обществах» указываются сведения о з</w:t>
      </w:r>
      <w:r w:rsidRPr="00FC68C3">
        <w:rPr>
          <w:i/>
          <w:sz w:val="22"/>
          <w:szCs w:val="22"/>
        </w:rPr>
        <w:t>аинтересованных в совершении сделки лицах и основаниях заинтересованности таких лиц:</w:t>
      </w:r>
    </w:p>
    <w:p w:rsidR="00660512" w:rsidRPr="00FC68C3" w:rsidRDefault="00660512" w:rsidP="00660512">
      <w:pPr>
        <w:autoSpaceDE w:val="0"/>
        <w:autoSpaceDN w:val="0"/>
        <w:adjustRightInd w:val="0"/>
        <w:jc w:val="both"/>
        <w:rPr>
          <w:rFonts w:eastAsia="Calibri"/>
          <w:i/>
          <w:sz w:val="22"/>
          <w:szCs w:val="22"/>
        </w:rPr>
      </w:pPr>
      <w:r w:rsidRPr="00FC68C3">
        <w:rPr>
          <w:rFonts w:eastAsia="Calibri"/>
          <w:i/>
          <w:sz w:val="22"/>
          <w:szCs w:val="22"/>
        </w:rPr>
        <w:t>1</w:t>
      </w:r>
      <w:r w:rsidRPr="00FC68C3">
        <w:rPr>
          <w:i/>
          <w:sz w:val="22"/>
          <w:szCs w:val="22"/>
        </w:rPr>
        <w:t>. косвенно контролирующее лицо Общества - АО «Группа ГМС» (является контролирующим лицом АО «ГИДРОМАШСЕРВИС» - Стороны по сделке);</w:t>
      </w:r>
    </w:p>
    <w:p w:rsidR="00660512" w:rsidRPr="00FC68C3" w:rsidRDefault="00660512" w:rsidP="00660512">
      <w:pPr>
        <w:autoSpaceDE w:val="0"/>
        <w:autoSpaceDN w:val="0"/>
        <w:adjustRightInd w:val="0"/>
        <w:jc w:val="both"/>
        <w:rPr>
          <w:rFonts w:eastAsia="Calibri"/>
          <w:i/>
          <w:sz w:val="22"/>
          <w:szCs w:val="22"/>
        </w:rPr>
      </w:pPr>
      <w:r w:rsidRPr="00FC68C3">
        <w:rPr>
          <w:i/>
          <w:sz w:val="22"/>
          <w:szCs w:val="22"/>
        </w:rPr>
        <w:t xml:space="preserve">2. косвенно контролирующее лицо Общества - </w:t>
      </w:r>
      <w:r w:rsidRPr="00FC68C3">
        <w:rPr>
          <w:bCs/>
          <w:i/>
          <w:sz w:val="22"/>
          <w:szCs w:val="22"/>
        </w:rPr>
        <w:t>HMS HYDRAULIC MACHINES &amp; SYSTEMS GROUP PLC</w:t>
      </w:r>
      <w:r w:rsidRPr="00FC68C3">
        <w:rPr>
          <w:i/>
          <w:sz w:val="22"/>
          <w:szCs w:val="22"/>
        </w:rPr>
        <w:t xml:space="preserve"> (является косвенно контролирующим лицом АО «ГИДРОМАШСЕРВИС» - Стороны по сделке);</w:t>
      </w:r>
    </w:p>
    <w:p w:rsidR="00660512" w:rsidRPr="00FC68C3" w:rsidRDefault="00660512" w:rsidP="00660512">
      <w:pPr>
        <w:autoSpaceDE w:val="0"/>
        <w:autoSpaceDN w:val="0"/>
        <w:adjustRightInd w:val="0"/>
        <w:jc w:val="both"/>
        <w:rPr>
          <w:i/>
          <w:sz w:val="22"/>
          <w:szCs w:val="22"/>
        </w:rPr>
      </w:pPr>
      <w:r w:rsidRPr="00FC68C3">
        <w:rPr>
          <w:i/>
          <w:iCs/>
          <w:sz w:val="22"/>
          <w:szCs w:val="22"/>
        </w:rPr>
        <w:lastRenderedPageBreak/>
        <w:t xml:space="preserve">3. </w:t>
      </w:r>
      <w:r w:rsidRPr="00FC68C3">
        <w:rPr>
          <w:i/>
          <w:sz w:val="22"/>
          <w:szCs w:val="22"/>
        </w:rPr>
        <w:t xml:space="preserve">член совета директоров Общества </w:t>
      </w:r>
      <w:proofErr w:type="spellStart"/>
      <w:r w:rsidRPr="00FC68C3">
        <w:rPr>
          <w:i/>
          <w:sz w:val="22"/>
          <w:szCs w:val="22"/>
        </w:rPr>
        <w:t>Скрынник</w:t>
      </w:r>
      <w:proofErr w:type="spellEnd"/>
      <w:r w:rsidRPr="00FC68C3">
        <w:rPr>
          <w:i/>
          <w:sz w:val="22"/>
          <w:szCs w:val="22"/>
        </w:rPr>
        <w:t xml:space="preserve"> Юрий Николаевич (является членом совета директоров АО «ГИДРОМАШСЕРВИС» - Стороны по сделке);</w:t>
      </w:r>
    </w:p>
    <w:p w:rsidR="00660512" w:rsidRPr="00FC68C3" w:rsidRDefault="00660512" w:rsidP="00660512">
      <w:pPr>
        <w:autoSpaceDE w:val="0"/>
        <w:autoSpaceDN w:val="0"/>
        <w:adjustRightInd w:val="0"/>
        <w:jc w:val="both"/>
        <w:rPr>
          <w:i/>
          <w:sz w:val="22"/>
          <w:szCs w:val="22"/>
        </w:rPr>
      </w:pPr>
      <w:r w:rsidRPr="00FC68C3">
        <w:rPr>
          <w:i/>
          <w:sz w:val="22"/>
          <w:szCs w:val="22"/>
        </w:rPr>
        <w:t xml:space="preserve">4. управляющая организация Общества - </w:t>
      </w:r>
      <w:r w:rsidRPr="00FC68C3">
        <w:rPr>
          <w:rFonts w:eastAsia="Calibri"/>
          <w:i/>
          <w:sz w:val="22"/>
          <w:szCs w:val="22"/>
        </w:rPr>
        <w:t xml:space="preserve">ООО «УК «Группа ГМС» (является также </w:t>
      </w:r>
      <w:r w:rsidRPr="00FC68C3">
        <w:rPr>
          <w:i/>
          <w:sz w:val="22"/>
          <w:szCs w:val="22"/>
        </w:rPr>
        <w:t>управляющей организацией АО «ГИДРОМАШСЕРВИС» - Стороны по сделке).</w:t>
      </w:r>
    </w:p>
    <w:p w:rsidR="00660512" w:rsidRPr="00934E94" w:rsidRDefault="00660512" w:rsidP="00660512">
      <w:pPr>
        <w:jc w:val="both"/>
        <w:rPr>
          <w:color w:val="002060"/>
          <w:sz w:val="22"/>
          <w:szCs w:val="22"/>
        </w:rPr>
      </w:pPr>
      <w:r w:rsidRPr="00934E94">
        <w:rPr>
          <w:color w:val="002060"/>
          <w:sz w:val="22"/>
          <w:szCs w:val="22"/>
          <w:u w:val="single"/>
        </w:rPr>
        <w:t>Цена сделки:</w:t>
      </w:r>
      <w:r w:rsidRPr="00934E94">
        <w:rPr>
          <w:color w:val="002060"/>
          <w:sz w:val="22"/>
          <w:szCs w:val="22"/>
        </w:rPr>
        <w:t xml:space="preserve"> (с учетом </w:t>
      </w:r>
      <w:proofErr w:type="gramStart"/>
      <w:r w:rsidRPr="00934E94">
        <w:rPr>
          <w:color w:val="002060"/>
          <w:sz w:val="22"/>
          <w:szCs w:val="22"/>
        </w:rPr>
        <w:t>суммы</w:t>
      </w:r>
      <w:proofErr w:type="gramEnd"/>
      <w:r w:rsidRPr="00934E94">
        <w:rPr>
          <w:color w:val="002060"/>
          <w:sz w:val="22"/>
          <w:szCs w:val="22"/>
        </w:rPr>
        <w:t xml:space="preserve"> ранее принятых непогашенных денежных обязательств Поручителя перед Банком) определена в размере</w:t>
      </w:r>
      <w:r w:rsidRPr="00934E94">
        <w:rPr>
          <w:b/>
          <w:color w:val="002060"/>
          <w:sz w:val="22"/>
          <w:szCs w:val="22"/>
        </w:rPr>
        <w:t xml:space="preserve"> </w:t>
      </w:r>
      <w:r w:rsidR="00A97D6F" w:rsidRPr="00F9225C">
        <w:rPr>
          <w:color w:val="002060"/>
          <w:sz w:val="22"/>
          <w:szCs w:val="22"/>
        </w:rPr>
        <w:t>более 50</w:t>
      </w:r>
      <w:r w:rsidR="00A97D6F">
        <w:rPr>
          <w:b/>
          <w:color w:val="002060"/>
          <w:sz w:val="22"/>
          <w:szCs w:val="22"/>
        </w:rPr>
        <w:t xml:space="preserve"> </w:t>
      </w:r>
      <w:r w:rsidRPr="00934E94">
        <w:rPr>
          <w:color w:val="002060"/>
          <w:sz w:val="22"/>
          <w:szCs w:val="22"/>
        </w:rPr>
        <w:t>% от стоимости активов Поручителя по состоянию на 30.06.2017г.</w:t>
      </w:r>
      <w:bookmarkStart w:id="0" w:name="_GoBack"/>
      <w:bookmarkEnd w:id="0"/>
    </w:p>
    <w:p w:rsidR="00660512" w:rsidRPr="00900183" w:rsidRDefault="00660512" w:rsidP="00660512">
      <w:pPr>
        <w:jc w:val="both"/>
        <w:rPr>
          <w:b/>
          <w:caps/>
          <w:sz w:val="22"/>
          <w:szCs w:val="22"/>
        </w:rPr>
      </w:pPr>
    </w:p>
    <w:p w:rsidR="00660512" w:rsidRDefault="00D44485" w:rsidP="00660512">
      <w:pPr>
        <w:overflowPunct w:val="0"/>
        <w:autoSpaceDE w:val="0"/>
        <w:autoSpaceDN w:val="0"/>
        <w:adjustRightInd w:val="0"/>
        <w:spacing w:before="120"/>
        <w:jc w:val="both"/>
        <w:rPr>
          <w:b/>
        </w:rPr>
      </w:pPr>
      <w:r>
        <w:rPr>
          <w:b/>
        </w:rPr>
        <w:t>Дата составления отчета: «15» августа</w:t>
      </w:r>
      <w:r w:rsidR="00660512" w:rsidRPr="002264ED">
        <w:rPr>
          <w:b/>
        </w:rPr>
        <w:t xml:space="preserve"> 2017 года.</w:t>
      </w:r>
    </w:p>
    <w:p w:rsidR="00660512" w:rsidRPr="002264ED" w:rsidRDefault="00660512" w:rsidP="00660512">
      <w:pPr>
        <w:overflowPunct w:val="0"/>
        <w:autoSpaceDE w:val="0"/>
        <w:autoSpaceDN w:val="0"/>
        <w:adjustRightInd w:val="0"/>
        <w:spacing w:before="120"/>
        <w:jc w:val="both"/>
        <w:rPr>
          <w:b/>
        </w:rPr>
      </w:pPr>
    </w:p>
    <w:p w:rsidR="00660512" w:rsidRPr="002264ED" w:rsidRDefault="00660512" w:rsidP="00660512">
      <w:pPr>
        <w:jc w:val="right"/>
        <w:rPr>
          <w:b/>
        </w:rPr>
      </w:pPr>
    </w:p>
    <w:p w:rsidR="00660512" w:rsidRDefault="00660512" w:rsidP="00660512">
      <w:pPr>
        <w:rPr>
          <w:b/>
        </w:rPr>
      </w:pPr>
      <w:r w:rsidRPr="002264ED">
        <w:rPr>
          <w:b/>
        </w:rPr>
        <w:t>Председатель Собрания</w:t>
      </w:r>
      <w:r w:rsidRPr="002264ED">
        <w:rPr>
          <w:b/>
        </w:rPr>
        <w:tab/>
      </w:r>
      <w:r w:rsidRPr="002264ED">
        <w:rPr>
          <w:b/>
        </w:rPr>
        <w:tab/>
      </w:r>
      <w:r w:rsidRPr="002264ED">
        <w:rPr>
          <w:b/>
        </w:rPr>
        <w:tab/>
      </w:r>
      <w:r w:rsidRPr="002264ED">
        <w:rPr>
          <w:b/>
        </w:rPr>
        <w:tab/>
      </w:r>
      <w:r w:rsidRPr="002264ED">
        <w:rPr>
          <w:b/>
        </w:rPr>
        <w:tab/>
      </w:r>
      <w:r w:rsidRPr="002264ED">
        <w:rPr>
          <w:b/>
        </w:rPr>
        <w:tab/>
        <w:t>А.Е. Новиков</w:t>
      </w:r>
    </w:p>
    <w:p w:rsidR="00660512" w:rsidRPr="002264ED" w:rsidRDefault="00660512" w:rsidP="00660512">
      <w:pPr>
        <w:rPr>
          <w:b/>
        </w:rPr>
      </w:pPr>
    </w:p>
    <w:p w:rsidR="00660512" w:rsidRPr="002264ED" w:rsidRDefault="00660512" w:rsidP="00660512">
      <w:pPr>
        <w:rPr>
          <w:b/>
        </w:rPr>
      </w:pPr>
    </w:p>
    <w:p w:rsidR="00660512" w:rsidRPr="002264ED" w:rsidRDefault="00660512" w:rsidP="00660512">
      <w:pPr>
        <w:rPr>
          <w:b/>
        </w:rPr>
      </w:pPr>
      <w:r w:rsidRPr="002264ED">
        <w:rPr>
          <w:b/>
        </w:rPr>
        <w:t>Секретарь Собрания</w:t>
      </w:r>
      <w:r w:rsidRPr="002264ED">
        <w:rPr>
          <w:b/>
        </w:rPr>
        <w:tab/>
      </w:r>
      <w:r w:rsidRPr="002264ED">
        <w:rPr>
          <w:b/>
        </w:rPr>
        <w:tab/>
      </w:r>
      <w:r w:rsidRPr="002264ED">
        <w:rPr>
          <w:b/>
        </w:rPr>
        <w:tab/>
      </w:r>
      <w:r w:rsidRPr="002264ED">
        <w:rPr>
          <w:b/>
        </w:rPr>
        <w:tab/>
      </w:r>
      <w:r w:rsidRPr="002264ED">
        <w:rPr>
          <w:b/>
        </w:rPr>
        <w:tab/>
      </w:r>
      <w:r w:rsidRPr="002264ED">
        <w:rPr>
          <w:b/>
        </w:rPr>
        <w:tab/>
        <w:t>Ю.А. Воронина</w:t>
      </w:r>
    </w:p>
    <w:p w:rsidR="00660512" w:rsidRPr="002264ED" w:rsidRDefault="00660512" w:rsidP="00660512">
      <w:pPr>
        <w:jc w:val="both"/>
        <w:rPr>
          <w:b/>
        </w:rPr>
      </w:pPr>
    </w:p>
    <w:p w:rsidR="00660512" w:rsidRDefault="00660512" w:rsidP="00660512">
      <w:r w:rsidRPr="002264ED">
        <w:rPr>
          <w:b/>
        </w:rPr>
        <w:t xml:space="preserve">      </w:t>
      </w:r>
      <w:r>
        <w:rPr>
          <w:b/>
        </w:rPr>
        <w:t xml:space="preserve">                                                            </w:t>
      </w:r>
      <w:r w:rsidRPr="002264ED">
        <w:rPr>
          <w:b/>
        </w:rPr>
        <w:t xml:space="preserve">  </w:t>
      </w:r>
      <w:r w:rsidRPr="002264ED">
        <w:t xml:space="preserve">М.П. </w:t>
      </w:r>
    </w:p>
    <w:p w:rsidR="00660512" w:rsidRDefault="00660512" w:rsidP="00055939">
      <w:pPr>
        <w:ind w:firstLine="720"/>
        <w:jc w:val="both"/>
        <w:rPr>
          <w:sz w:val="22"/>
          <w:szCs w:val="22"/>
        </w:rPr>
      </w:pPr>
    </w:p>
    <w:sectPr w:rsidR="006605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39" w:rsidRDefault="00055939" w:rsidP="00055939">
      <w:r>
        <w:separator/>
      </w:r>
    </w:p>
  </w:endnote>
  <w:endnote w:type="continuationSeparator" w:id="0">
    <w:p w:rsidR="00055939" w:rsidRDefault="00055939"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15429"/>
      <w:docPartObj>
        <w:docPartGallery w:val="Page Numbers (Bottom of Page)"/>
        <w:docPartUnique/>
      </w:docPartObj>
    </w:sdtPr>
    <w:sdtContent>
      <w:p w:rsidR="00660512" w:rsidRDefault="00660512">
        <w:pPr>
          <w:pStyle w:val="aa"/>
          <w:jc w:val="right"/>
        </w:pPr>
        <w:r>
          <w:fldChar w:fldCharType="begin"/>
        </w:r>
        <w:r>
          <w:instrText>PAGE   \* MERGEFORMAT</w:instrText>
        </w:r>
        <w:r>
          <w:fldChar w:fldCharType="separate"/>
        </w:r>
        <w:r w:rsidR="00BE239F">
          <w:rPr>
            <w:noProof/>
          </w:rPr>
          <w:t>1</w:t>
        </w:r>
        <w:r>
          <w:fldChar w:fldCharType="end"/>
        </w:r>
      </w:p>
    </w:sdtContent>
  </w:sdt>
  <w:p w:rsidR="00660512" w:rsidRDefault="006605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F9225C">
          <w:rPr>
            <w:noProof/>
          </w:rPr>
          <w:t>3</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39" w:rsidRDefault="00055939" w:rsidP="00055939">
      <w:r>
        <w:separator/>
      </w:r>
    </w:p>
  </w:footnote>
  <w:footnote w:type="continuationSeparator" w:id="0">
    <w:p w:rsidR="00055939" w:rsidRDefault="00055939"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C4E67"/>
    <w:multiLevelType w:val="hybridMultilevel"/>
    <w:tmpl w:val="194CE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C5BFE"/>
    <w:multiLevelType w:val="hybridMultilevel"/>
    <w:tmpl w:val="559EF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32222"/>
    <w:multiLevelType w:val="hybridMultilevel"/>
    <w:tmpl w:val="493E2CF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4">
    <w:nsid w:val="32D66B39"/>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55939"/>
    <w:rsid w:val="001A641F"/>
    <w:rsid w:val="00340D8D"/>
    <w:rsid w:val="00410798"/>
    <w:rsid w:val="0052718D"/>
    <w:rsid w:val="005F4DCC"/>
    <w:rsid w:val="00660512"/>
    <w:rsid w:val="006D5BC8"/>
    <w:rsid w:val="00855C25"/>
    <w:rsid w:val="008F2DF3"/>
    <w:rsid w:val="00934E94"/>
    <w:rsid w:val="00935066"/>
    <w:rsid w:val="00A97D6F"/>
    <w:rsid w:val="00B42BDF"/>
    <w:rsid w:val="00B65AF6"/>
    <w:rsid w:val="00BE239F"/>
    <w:rsid w:val="00D44485"/>
    <w:rsid w:val="00D759AA"/>
    <w:rsid w:val="00DE0AF8"/>
    <w:rsid w:val="00F9225C"/>
    <w:rsid w:val="00F9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55939"/>
    <w:pPr>
      <w:tabs>
        <w:tab w:val="center" w:pos="4677"/>
        <w:tab w:val="right" w:pos="9355"/>
      </w:tabs>
    </w:pPr>
  </w:style>
  <w:style w:type="character" w:customStyle="1" w:styleId="ab">
    <w:name w:val="Нижний колонтитул Знак"/>
    <w:basedOn w:val="a1"/>
    <w:link w:val="aa"/>
    <w:uiPriority w:val="99"/>
    <w:rsid w:val="00055939"/>
    <w:rPr>
      <w:rFonts w:ascii="Times New Roman" w:eastAsia="Times New Roman" w:hAnsi="Times New Roman" w:cs="Times New Roman"/>
      <w:sz w:val="24"/>
      <w:szCs w:val="24"/>
      <w:lang w:eastAsia="ru-RU"/>
    </w:rPr>
  </w:style>
  <w:style w:type="paragraph" w:styleId="ac">
    <w:name w:val="Body Text"/>
    <w:basedOn w:val="a0"/>
    <w:link w:val="ad"/>
    <w:rsid w:val="00660512"/>
    <w:pPr>
      <w:spacing w:before="100" w:beforeAutospacing="1" w:after="100" w:afterAutospacing="1"/>
    </w:pPr>
  </w:style>
  <w:style w:type="character" w:customStyle="1" w:styleId="ad">
    <w:name w:val="Основной текст Знак"/>
    <w:basedOn w:val="a1"/>
    <w:link w:val="ac"/>
    <w:rsid w:val="00660512"/>
    <w:rPr>
      <w:rFonts w:ascii="Times New Roman" w:eastAsia="Times New Roman" w:hAnsi="Times New Roman" w:cs="Times New Roman"/>
      <w:sz w:val="24"/>
      <w:szCs w:val="24"/>
      <w:lang w:eastAsia="ru-RU"/>
    </w:rPr>
  </w:style>
  <w:style w:type="paragraph" w:customStyle="1" w:styleId="2">
    <w:name w:val="Абзац списка2"/>
    <w:basedOn w:val="a0"/>
    <w:rsid w:val="00660512"/>
    <w:pPr>
      <w:ind w:left="720"/>
      <w:contextualSpacing/>
    </w:pPr>
    <w:rPr>
      <w:sz w:val="20"/>
      <w:szCs w:val="20"/>
    </w:rPr>
  </w:style>
  <w:style w:type="paragraph" w:styleId="ae">
    <w:name w:val="List Paragraph"/>
    <w:basedOn w:val="a0"/>
    <w:uiPriority w:val="34"/>
    <w:qFormat/>
    <w:rsid w:val="00660512"/>
    <w:pPr>
      <w:ind w:left="720"/>
      <w:contextualSpacing/>
    </w:pPr>
    <w:rPr>
      <w:sz w:val="20"/>
      <w:szCs w:val="20"/>
    </w:rPr>
  </w:style>
  <w:style w:type="paragraph" w:customStyle="1" w:styleId="ListParagraph">
    <w:name w:val="List Paragraph"/>
    <w:basedOn w:val="a0"/>
    <w:rsid w:val="00DE0AF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18</cp:revision>
  <dcterms:created xsi:type="dcterms:W3CDTF">2017-10-25T05:51:00Z</dcterms:created>
  <dcterms:modified xsi:type="dcterms:W3CDTF">2017-11-24T06:29:00Z</dcterms:modified>
</cp:coreProperties>
</file>