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F709F8" w:rsidRDefault="00055939" w:rsidP="00055939">
      <w:pPr>
        <w:overflowPunct w:val="0"/>
        <w:autoSpaceDE w:val="0"/>
        <w:autoSpaceDN w:val="0"/>
        <w:adjustRightInd w:val="0"/>
        <w:jc w:val="center"/>
        <w:rPr>
          <w:b/>
          <w:sz w:val="22"/>
          <w:szCs w:val="22"/>
        </w:rPr>
      </w:pPr>
      <w:r w:rsidRPr="00F709F8">
        <w:rPr>
          <w:b/>
          <w:sz w:val="22"/>
          <w:szCs w:val="22"/>
        </w:rPr>
        <w:t>ОТЧЕТ ОБ ИТОГАХ ГОЛОСОВАНИЯ</w:t>
      </w:r>
    </w:p>
    <w:p w:rsidR="00055939" w:rsidRPr="00F709F8" w:rsidRDefault="00055939" w:rsidP="00055939">
      <w:pPr>
        <w:overflowPunct w:val="0"/>
        <w:autoSpaceDE w:val="0"/>
        <w:autoSpaceDN w:val="0"/>
        <w:adjustRightInd w:val="0"/>
        <w:jc w:val="center"/>
        <w:rPr>
          <w:b/>
          <w:sz w:val="22"/>
          <w:szCs w:val="22"/>
        </w:rPr>
      </w:pPr>
      <w:r w:rsidRPr="00F709F8">
        <w:rPr>
          <w:b/>
          <w:sz w:val="22"/>
          <w:szCs w:val="22"/>
        </w:rPr>
        <w:t xml:space="preserve">НА ВНЕОЧЕРЕДНОМ ОБЩЕМ СОБРАНИИ АКЦИОНЕРОВ  </w:t>
      </w:r>
    </w:p>
    <w:p w:rsidR="00055939" w:rsidRPr="00F709F8" w:rsidRDefault="00055939" w:rsidP="00055939">
      <w:pPr>
        <w:pStyle w:val="a4"/>
        <w:rPr>
          <w:b/>
          <w:sz w:val="22"/>
          <w:szCs w:val="22"/>
        </w:rPr>
      </w:pPr>
      <w:r w:rsidRPr="00F709F8">
        <w:rPr>
          <w:b/>
          <w:sz w:val="22"/>
          <w:szCs w:val="22"/>
        </w:rPr>
        <w:t>АКЦИОНЕРНОГО ОБЩЕСТВА «СИБНЕФТЕМАШ»</w:t>
      </w:r>
    </w:p>
    <w:p w:rsidR="00055939" w:rsidRPr="00F709F8"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79"/>
      </w:tblGrid>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Полное фирменное наименование Общества: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Акционерное общество «</w:t>
            </w:r>
            <w:proofErr w:type="spellStart"/>
            <w:r w:rsidRPr="00F709F8">
              <w:rPr>
                <w:sz w:val="22"/>
                <w:szCs w:val="22"/>
              </w:rPr>
              <w:t>Сибнефтемаш</w:t>
            </w:r>
            <w:proofErr w:type="spellEnd"/>
            <w:r w:rsidRPr="00F709F8">
              <w:rPr>
                <w:sz w:val="22"/>
                <w:szCs w:val="22"/>
              </w:rPr>
              <w:t xml:space="preserve">» </w:t>
            </w:r>
          </w:p>
          <w:p w:rsidR="00055939" w:rsidRPr="00F709F8" w:rsidRDefault="00055939">
            <w:pPr>
              <w:jc w:val="both"/>
              <w:rPr>
                <w:sz w:val="22"/>
                <w:szCs w:val="22"/>
              </w:rPr>
            </w:pPr>
            <w:r w:rsidRPr="00F709F8">
              <w:rPr>
                <w:sz w:val="22"/>
                <w:szCs w:val="22"/>
              </w:rPr>
              <w:t>(далее АО «</w:t>
            </w:r>
            <w:proofErr w:type="spellStart"/>
            <w:r w:rsidRPr="00F709F8">
              <w:rPr>
                <w:sz w:val="22"/>
                <w:szCs w:val="22"/>
              </w:rPr>
              <w:t>Сибнефтемаш</w:t>
            </w:r>
            <w:proofErr w:type="spellEnd"/>
            <w:r w:rsidRPr="00F709F8">
              <w:rPr>
                <w:sz w:val="22"/>
                <w:szCs w:val="22"/>
              </w:rPr>
              <w:t xml:space="preserve">» или «Общество») </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 xml:space="preserve">Место нахождения </w:t>
            </w:r>
          </w:p>
          <w:p w:rsidR="00055939" w:rsidRPr="00F709F8" w:rsidRDefault="00055939">
            <w:pPr>
              <w:rPr>
                <w:sz w:val="22"/>
                <w:szCs w:val="22"/>
              </w:rPr>
            </w:pPr>
            <w:r w:rsidRPr="00F709F8">
              <w:rPr>
                <w:sz w:val="22"/>
                <w:szCs w:val="22"/>
              </w:rPr>
              <w:t>Общества: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625511, РФ, Тюменская область, Тюменский район, 15 километр Тобольского тракта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Вид общего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внеочередное</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Форма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Дата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1083D">
            <w:pPr>
              <w:jc w:val="both"/>
              <w:rPr>
                <w:b/>
                <w:sz w:val="22"/>
                <w:szCs w:val="22"/>
              </w:rPr>
            </w:pPr>
            <w:r>
              <w:rPr>
                <w:b/>
                <w:sz w:val="22"/>
                <w:szCs w:val="22"/>
              </w:rPr>
              <w:t>«30» ноября</w:t>
            </w:r>
            <w:r w:rsidR="00261F77" w:rsidRPr="00F709F8">
              <w:rPr>
                <w:b/>
                <w:sz w:val="22"/>
                <w:szCs w:val="22"/>
              </w:rPr>
              <w:t xml:space="preserve"> </w:t>
            </w:r>
            <w:r w:rsidR="00D377A6" w:rsidRPr="00F709F8">
              <w:rPr>
                <w:b/>
                <w:sz w:val="22"/>
                <w:szCs w:val="22"/>
              </w:rPr>
              <w:t>2018</w:t>
            </w:r>
            <w:r w:rsidR="00055939" w:rsidRPr="00F709F8">
              <w:rPr>
                <w:b/>
                <w:sz w:val="22"/>
                <w:szCs w:val="22"/>
              </w:rPr>
              <w:t xml:space="preserve"> года</w:t>
            </w:r>
          </w:p>
        </w:tc>
      </w:tr>
      <w:tr w:rsidR="00055939" w:rsidRPr="00F709F8" w:rsidTr="007D7DFD">
        <w:trPr>
          <w:trHeight w:val="424"/>
        </w:trPr>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Место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625511, РФ, Тюменская область, Тюменский район, 15 километр Тобольского тракта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Дата составления списка лиц, имеющих право на участие в общем собрании акционеров:</w:t>
            </w:r>
          </w:p>
        </w:tc>
        <w:tc>
          <w:tcPr>
            <w:tcW w:w="6379" w:type="dxa"/>
            <w:tcBorders>
              <w:top w:val="single" w:sz="4" w:space="0" w:color="auto"/>
              <w:left w:val="single" w:sz="4" w:space="0" w:color="auto"/>
              <w:bottom w:val="single" w:sz="4" w:space="0" w:color="auto"/>
              <w:right w:val="single" w:sz="4" w:space="0" w:color="auto"/>
            </w:tcBorders>
            <w:vAlign w:val="center"/>
          </w:tcPr>
          <w:p w:rsidR="00055939" w:rsidRPr="00F709F8" w:rsidRDefault="00055939">
            <w:pPr>
              <w:jc w:val="both"/>
              <w:rPr>
                <w:sz w:val="22"/>
                <w:szCs w:val="22"/>
              </w:rPr>
            </w:pPr>
          </w:p>
          <w:p w:rsidR="00055939" w:rsidRPr="00F709F8" w:rsidRDefault="00055939">
            <w:pPr>
              <w:jc w:val="both"/>
              <w:rPr>
                <w:sz w:val="22"/>
                <w:szCs w:val="22"/>
              </w:rPr>
            </w:pPr>
          </w:p>
          <w:p w:rsidR="00055939" w:rsidRPr="00F709F8" w:rsidRDefault="0001083D">
            <w:pPr>
              <w:jc w:val="both"/>
              <w:rPr>
                <w:sz w:val="22"/>
                <w:szCs w:val="22"/>
              </w:rPr>
            </w:pPr>
            <w:r>
              <w:rPr>
                <w:sz w:val="22"/>
                <w:szCs w:val="22"/>
              </w:rPr>
              <w:t>«08» ноября</w:t>
            </w:r>
            <w:r w:rsidR="004B18F5">
              <w:rPr>
                <w:sz w:val="22"/>
                <w:szCs w:val="22"/>
              </w:rPr>
              <w:t xml:space="preserve"> </w:t>
            </w:r>
            <w:r w:rsidR="00D377A6" w:rsidRPr="00F709F8">
              <w:rPr>
                <w:sz w:val="22"/>
                <w:szCs w:val="22"/>
              </w:rPr>
              <w:t>2018</w:t>
            </w:r>
            <w:r w:rsidR="00055939" w:rsidRPr="00F709F8">
              <w:rPr>
                <w:sz w:val="22"/>
                <w:szCs w:val="22"/>
              </w:rPr>
              <w:t xml:space="preserve"> года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 xml:space="preserve">Дата и время составления протокола: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1083D">
            <w:pPr>
              <w:jc w:val="both"/>
              <w:rPr>
                <w:b/>
                <w:sz w:val="22"/>
                <w:szCs w:val="22"/>
              </w:rPr>
            </w:pPr>
            <w:r>
              <w:rPr>
                <w:b/>
                <w:sz w:val="22"/>
                <w:szCs w:val="22"/>
              </w:rPr>
              <w:t xml:space="preserve">«30» ноября </w:t>
            </w:r>
            <w:r w:rsidR="00D377A6" w:rsidRPr="00F709F8">
              <w:rPr>
                <w:b/>
                <w:sz w:val="22"/>
                <w:szCs w:val="22"/>
              </w:rPr>
              <w:t>2018</w:t>
            </w:r>
            <w:r w:rsidR="004B18F5">
              <w:rPr>
                <w:b/>
                <w:sz w:val="22"/>
                <w:szCs w:val="22"/>
              </w:rPr>
              <w:t xml:space="preserve"> года</w:t>
            </w:r>
            <w:r w:rsidR="00B109E6">
              <w:rPr>
                <w:b/>
                <w:sz w:val="22"/>
                <w:szCs w:val="22"/>
              </w:rPr>
              <w:t>, 12</w:t>
            </w:r>
            <w:r w:rsidR="00055939" w:rsidRPr="00F709F8">
              <w:rPr>
                <w:b/>
                <w:sz w:val="22"/>
                <w:szCs w:val="22"/>
              </w:rPr>
              <w:t xml:space="preserve"> ч. 00 мин. </w:t>
            </w:r>
          </w:p>
        </w:tc>
      </w:tr>
    </w:tbl>
    <w:p w:rsidR="00055939" w:rsidRPr="00F709F8" w:rsidRDefault="00055939" w:rsidP="00055939">
      <w:pPr>
        <w:jc w:val="both"/>
        <w:rPr>
          <w:bCs/>
          <w:sz w:val="22"/>
          <w:szCs w:val="22"/>
        </w:rPr>
      </w:pPr>
      <w:r w:rsidRPr="00F709F8">
        <w:rPr>
          <w:b/>
          <w:bCs/>
          <w:sz w:val="22"/>
          <w:szCs w:val="22"/>
        </w:rPr>
        <w:t>Председатель собрания</w:t>
      </w:r>
      <w:r w:rsidRPr="00F709F8">
        <w:rPr>
          <w:bCs/>
          <w:sz w:val="22"/>
          <w:szCs w:val="22"/>
        </w:rPr>
        <w:t>: Новиков Андрей Евгеньевич.</w:t>
      </w:r>
    </w:p>
    <w:p w:rsidR="00055939" w:rsidRPr="00F709F8" w:rsidRDefault="00055939" w:rsidP="00055939">
      <w:pPr>
        <w:jc w:val="both"/>
        <w:rPr>
          <w:bCs/>
          <w:sz w:val="22"/>
          <w:szCs w:val="22"/>
        </w:rPr>
      </w:pPr>
      <w:r w:rsidRPr="00F709F8">
        <w:rPr>
          <w:b/>
          <w:bCs/>
          <w:sz w:val="22"/>
          <w:szCs w:val="22"/>
        </w:rPr>
        <w:t>Секретарь собрания</w:t>
      </w:r>
      <w:r w:rsidRPr="00F709F8">
        <w:rPr>
          <w:bCs/>
          <w:sz w:val="22"/>
          <w:szCs w:val="22"/>
        </w:rPr>
        <w:t>: Воронина Юлия Александровна.</w:t>
      </w:r>
    </w:p>
    <w:p w:rsidR="00055939" w:rsidRPr="00F709F8" w:rsidRDefault="00055939" w:rsidP="00055939">
      <w:pPr>
        <w:tabs>
          <w:tab w:val="left" w:pos="3261"/>
          <w:tab w:val="left" w:pos="10704"/>
        </w:tabs>
        <w:spacing w:before="120"/>
        <w:jc w:val="both"/>
        <w:rPr>
          <w:sz w:val="22"/>
          <w:szCs w:val="22"/>
        </w:rPr>
      </w:pPr>
      <w:r w:rsidRPr="00F709F8">
        <w:rPr>
          <w:b/>
          <w:sz w:val="22"/>
          <w:szCs w:val="22"/>
        </w:rPr>
        <w:t>Счетная комиссия:</w:t>
      </w:r>
      <w:r w:rsidRPr="00F709F8">
        <w:rPr>
          <w:sz w:val="22"/>
          <w:szCs w:val="22"/>
        </w:rPr>
        <w:t xml:space="preserve"> Специализированный регистратор Акционерное общество «Новый регистратор» (Тюменский филиал).</w:t>
      </w:r>
    </w:p>
    <w:p w:rsidR="00055939" w:rsidRPr="00F709F8" w:rsidRDefault="00055939" w:rsidP="004D45D3">
      <w:pPr>
        <w:tabs>
          <w:tab w:val="left" w:pos="3261"/>
          <w:tab w:val="left" w:pos="10704"/>
        </w:tabs>
        <w:spacing w:before="120"/>
        <w:jc w:val="both"/>
        <w:rPr>
          <w:sz w:val="22"/>
          <w:szCs w:val="22"/>
        </w:rPr>
      </w:pPr>
      <w:r w:rsidRPr="00F709F8">
        <w:rPr>
          <w:b/>
          <w:sz w:val="22"/>
          <w:szCs w:val="22"/>
        </w:rPr>
        <w:t>Место нахождения регистратора:</w:t>
      </w:r>
      <w:r w:rsidRPr="00F709F8">
        <w:rPr>
          <w:color w:val="000000"/>
          <w:sz w:val="22"/>
          <w:szCs w:val="22"/>
          <w:shd w:val="clear" w:color="auto" w:fill="FFFFFF"/>
        </w:rPr>
        <w:t xml:space="preserve"> </w:t>
      </w:r>
      <w:r w:rsidRPr="00F709F8">
        <w:rPr>
          <w:sz w:val="22"/>
          <w:szCs w:val="22"/>
        </w:rPr>
        <w:t xml:space="preserve">107996, РФ, г. Москва, ул. </w:t>
      </w:r>
      <w:proofErr w:type="spellStart"/>
      <w:r w:rsidRPr="00F709F8">
        <w:rPr>
          <w:sz w:val="22"/>
          <w:szCs w:val="22"/>
        </w:rPr>
        <w:t>Буженинова</w:t>
      </w:r>
      <w:proofErr w:type="spellEnd"/>
      <w:r w:rsidRPr="00F709F8">
        <w:rPr>
          <w:sz w:val="22"/>
          <w:szCs w:val="22"/>
        </w:rPr>
        <w:t>, д. 30, стр. 1 (место нахождение Тюменского филиала: 625019, РФ, Тюменская область, г. Тюмень, ул. Республики, д. 211 А).</w:t>
      </w:r>
      <w:r w:rsidR="004D45D3">
        <w:rPr>
          <w:sz w:val="22"/>
          <w:szCs w:val="22"/>
        </w:rPr>
        <w:t xml:space="preserve"> </w:t>
      </w:r>
      <w:r w:rsidRPr="00F709F8">
        <w:rPr>
          <w:b/>
          <w:sz w:val="22"/>
          <w:szCs w:val="22"/>
        </w:rPr>
        <w:t>Уполномоченное лицо регистратора:</w:t>
      </w:r>
      <w:r w:rsidRPr="00F709F8">
        <w:rPr>
          <w:sz w:val="22"/>
          <w:szCs w:val="22"/>
        </w:rPr>
        <w:t xml:space="preserve"> Токмянина</w:t>
      </w:r>
      <w:r w:rsidR="00815B37" w:rsidRPr="00F709F8">
        <w:rPr>
          <w:sz w:val="22"/>
          <w:szCs w:val="22"/>
        </w:rPr>
        <w:t xml:space="preserve"> Вера Львовна (доверенность №261 от 29.12.2017</w:t>
      </w:r>
      <w:r w:rsidRPr="00F709F8">
        <w:rPr>
          <w:sz w:val="22"/>
          <w:szCs w:val="22"/>
        </w:rPr>
        <w:t xml:space="preserve"> г. сроком действия до </w:t>
      </w:r>
      <w:r w:rsidR="00815B37" w:rsidRPr="00F709F8">
        <w:rPr>
          <w:sz w:val="22"/>
          <w:szCs w:val="22"/>
        </w:rPr>
        <w:t>31.12.2018</w:t>
      </w:r>
      <w:r w:rsidRPr="00F709F8">
        <w:rPr>
          <w:sz w:val="22"/>
          <w:szCs w:val="22"/>
        </w:rPr>
        <w:t xml:space="preserve"> г.). </w:t>
      </w:r>
    </w:p>
    <w:p w:rsidR="00055939" w:rsidRPr="00F709F8" w:rsidRDefault="00055939" w:rsidP="00055939">
      <w:pPr>
        <w:jc w:val="both"/>
        <w:rPr>
          <w:sz w:val="22"/>
          <w:szCs w:val="22"/>
        </w:rPr>
      </w:pPr>
    </w:p>
    <w:p w:rsidR="000E69A5" w:rsidRPr="00F709F8" w:rsidRDefault="00055939" w:rsidP="000E69A5">
      <w:pPr>
        <w:jc w:val="both"/>
        <w:rPr>
          <w:sz w:val="22"/>
          <w:szCs w:val="22"/>
        </w:rPr>
      </w:pPr>
      <w:r w:rsidRPr="00F709F8">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F709F8" w:rsidRDefault="00B93253" w:rsidP="00B93253">
      <w:pPr>
        <w:jc w:val="both"/>
        <w:rPr>
          <w:sz w:val="22"/>
          <w:szCs w:val="22"/>
        </w:rPr>
      </w:pPr>
      <w:r w:rsidRPr="00F709F8">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F709F8">
        <w:rPr>
          <w:sz w:val="22"/>
          <w:szCs w:val="22"/>
          <w:lang w:val="en-US"/>
        </w:rPr>
        <w:t>F</w:t>
      </w:r>
      <w:r w:rsidRPr="00F709F8">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F709F8">
        <w:rPr>
          <w:sz w:val="22"/>
          <w:szCs w:val="22"/>
          <w:lang w:val="en-US"/>
        </w:rPr>
        <w:t>F</w:t>
      </w:r>
      <w:r w:rsidRPr="00F709F8">
        <w:rPr>
          <w:sz w:val="22"/>
          <w:szCs w:val="22"/>
        </w:rPr>
        <w:t xml:space="preserve">, дата регистрации выпуска: 20.02.2012 г. </w:t>
      </w:r>
    </w:p>
    <w:p w:rsidR="003F6962" w:rsidRPr="00F709F8" w:rsidRDefault="003F6962" w:rsidP="000E69A5">
      <w:pPr>
        <w:jc w:val="both"/>
        <w:rPr>
          <w:sz w:val="22"/>
          <w:szCs w:val="22"/>
        </w:rPr>
      </w:pPr>
    </w:p>
    <w:p w:rsidR="001B2BAE" w:rsidRPr="0076292A" w:rsidRDefault="001B2BAE" w:rsidP="001B2BAE">
      <w:pPr>
        <w:jc w:val="both"/>
        <w:rPr>
          <w:b/>
          <w:sz w:val="22"/>
          <w:szCs w:val="22"/>
        </w:rPr>
      </w:pPr>
      <w:r w:rsidRPr="0076292A">
        <w:rPr>
          <w:b/>
          <w:sz w:val="22"/>
          <w:szCs w:val="22"/>
        </w:rPr>
        <w:t>Информация о нал</w:t>
      </w:r>
      <w:r w:rsidR="0001083D">
        <w:rPr>
          <w:b/>
          <w:sz w:val="22"/>
          <w:szCs w:val="22"/>
        </w:rPr>
        <w:t>ичии кворума по вопросу</w:t>
      </w:r>
      <w:r w:rsidRPr="0076292A">
        <w:rPr>
          <w:b/>
          <w:sz w:val="22"/>
          <w:szCs w:val="22"/>
        </w:rPr>
        <w:t xml:space="preserve"> повестки дня, определенного по данным участия в общем собрании акционеров - владельцев голосующих акций**:</w:t>
      </w:r>
    </w:p>
    <w:tbl>
      <w:tblPr>
        <w:tblpPr w:leftFromText="180" w:rightFromText="180" w:vertAnchor="text" w:horzAnchor="margin" w:tblpX="-39" w:tblpY="673"/>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1843"/>
      </w:tblGrid>
      <w:tr w:rsidR="001B2BAE" w:rsidRPr="0076292A" w:rsidTr="001B2BAE">
        <w:trPr>
          <w:cantSplit/>
          <w:trHeight w:val="983"/>
        </w:trPr>
        <w:tc>
          <w:tcPr>
            <w:tcW w:w="7626" w:type="dxa"/>
            <w:shd w:val="clear" w:color="auto" w:fill="auto"/>
          </w:tcPr>
          <w:p w:rsidR="001B2BAE" w:rsidRPr="0076292A" w:rsidRDefault="001B2BAE" w:rsidP="001B2BAE">
            <w:pPr>
              <w:keepNext/>
              <w:spacing w:before="40" w:after="40"/>
              <w:jc w:val="both"/>
              <w:rPr>
                <w:sz w:val="22"/>
                <w:szCs w:val="22"/>
              </w:rPr>
            </w:pPr>
            <w:r w:rsidRPr="0076292A">
              <w:rPr>
                <w:sz w:val="22"/>
                <w:szCs w:val="22"/>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1B2BAE" w:rsidRPr="0076292A" w:rsidRDefault="001B2BAE" w:rsidP="001B2BAE">
            <w:pPr>
              <w:keepNext/>
              <w:spacing w:before="40" w:after="40"/>
              <w:jc w:val="both"/>
              <w:rPr>
                <w:sz w:val="22"/>
                <w:szCs w:val="22"/>
              </w:rPr>
            </w:pPr>
          </w:p>
        </w:tc>
        <w:tc>
          <w:tcPr>
            <w:tcW w:w="1843" w:type="dxa"/>
            <w:shd w:val="clear" w:color="auto" w:fill="auto"/>
            <w:vAlign w:val="bottom"/>
          </w:tcPr>
          <w:p w:rsidR="001B2BAE" w:rsidRPr="0076292A" w:rsidRDefault="001B2BAE" w:rsidP="001B2BAE">
            <w:pPr>
              <w:keepNext/>
              <w:spacing w:before="40" w:after="40"/>
              <w:jc w:val="right"/>
              <w:rPr>
                <w:sz w:val="22"/>
                <w:szCs w:val="22"/>
                <w:lang w:val="en-US"/>
              </w:rPr>
            </w:pPr>
            <w:r w:rsidRPr="0076292A">
              <w:rPr>
                <w:sz w:val="22"/>
                <w:szCs w:val="22"/>
                <w:lang w:val="en-US"/>
              </w:rPr>
              <w:t>1 778 656</w:t>
            </w:r>
          </w:p>
          <w:p w:rsidR="001B2BAE" w:rsidRPr="0076292A" w:rsidRDefault="001B2BAE" w:rsidP="001B2BAE">
            <w:pPr>
              <w:keepNext/>
              <w:spacing w:before="40" w:after="40"/>
              <w:jc w:val="right"/>
              <w:rPr>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jc w:val="both"/>
              <w:rPr>
                <w:sz w:val="22"/>
                <w:szCs w:val="22"/>
              </w:rPr>
            </w:pPr>
            <w:r w:rsidRPr="0076292A">
              <w:rPr>
                <w:sz w:val="22"/>
                <w:szCs w:val="22"/>
              </w:rPr>
              <w:t xml:space="preserve">Число голосов, приходившихся на голосующие акции общества по вопросам повестки дня общего собрания, определенное с учетом положений п. 4.20 </w:t>
            </w:r>
            <w:r w:rsidRPr="0076292A">
              <w:rPr>
                <w:sz w:val="22"/>
                <w:szCs w:val="22"/>
              </w:rPr>
              <w:lastRenderedPageBreak/>
              <w:t>Положения, утвержденного приказом ФСФР России от 02.02.2012 г. № 12-6/</w:t>
            </w:r>
            <w:proofErr w:type="spellStart"/>
            <w:r w:rsidRPr="0076292A">
              <w:rPr>
                <w:sz w:val="22"/>
                <w:szCs w:val="22"/>
              </w:rPr>
              <w:t>пз</w:t>
            </w:r>
            <w:proofErr w:type="spellEnd"/>
            <w:r w:rsidRPr="0076292A">
              <w:rPr>
                <w:sz w:val="22"/>
                <w:szCs w:val="22"/>
              </w:rPr>
              <w:t>-н:</w:t>
            </w:r>
          </w:p>
        </w:tc>
        <w:tc>
          <w:tcPr>
            <w:tcW w:w="1843" w:type="dxa"/>
            <w:shd w:val="clear" w:color="auto" w:fill="auto"/>
            <w:vAlign w:val="bottom"/>
          </w:tcPr>
          <w:p w:rsidR="001B2BAE" w:rsidRPr="0076292A" w:rsidRDefault="001B2BAE" w:rsidP="001B2BAE">
            <w:pPr>
              <w:keepNext/>
              <w:spacing w:before="40" w:after="40"/>
              <w:jc w:val="right"/>
              <w:rPr>
                <w:sz w:val="22"/>
                <w:szCs w:val="22"/>
                <w:lang w:val="en-US"/>
              </w:rPr>
            </w:pPr>
            <w:r w:rsidRPr="0076292A">
              <w:rPr>
                <w:sz w:val="22"/>
                <w:szCs w:val="22"/>
                <w:lang w:val="en-US"/>
              </w:rPr>
              <w:lastRenderedPageBreak/>
              <w:t>1 778 656</w:t>
            </w:r>
          </w:p>
          <w:p w:rsidR="001B2BAE" w:rsidRPr="0076292A" w:rsidRDefault="001B2BAE" w:rsidP="001B2BAE">
            <w:pPr>
              <w:keepNext/>
              <w:spacing w:before="40" w:after="40"/>
              <w:jc w:val="right"/>
              <w:rPr>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jc w:val="both"/>
              <w:rPr>
                <w:color w:val="FF0000"/>
                <w:sz w:val="22"/>
                <w:szCs w:val="22"/>
              </w:rPr>
            </w:pPr>
            <w:r w:rsidRPr="0076292A">
              <w:rPr>
                <w:sz w:val="22"/>
                <w:szCs w:val="22"/>
              </w:rPr>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1B2BAE" w:rsidRPr="0076292A" w:rsidRDefault="001B2BAE" w:rsidP="001B2BAE">
            <w:pPr>
              <w:keepNext/>
              <w:spacing w:before="40" w:after="40"/>
              <w:jc w:val="right"/>
              <w:rPr>
                <w:sz w:val="22"/>
                <w:szCs w:val="22"/>
              </w:rPr>
            </w:pPr>
            <w:r w:rsidRPr="0076292A">
              <w:rPr>
                <w:sz w:val="22"/>
                <w:szCs w:val="22"/>
                <w:lang w:val="en-US"/>
              </w:rPr>
              <w:t xml:space="preserve">1 774 </w:t>
            </w:r>
            <w:r w:rsidRPr="0076292A">
              <w:rPr>
                <w:sz w:val="22"/>
                <w:szCs w:val="22"/>
              </w:rPr>
              <w:t>348</w:t>
            </w:r>
          </w:p>
          <w:p w:rsidR="001B2BAE" w:rsidRPr="0076292A" w:rsidRDefault="001B2BAE" w:rsidP="001B2BAE">
            <w:pPr>
              <w:keepNext/>
              <w:spacing w:before="40" w:after="40"/>
              <w:jc w:val="right"/>
              <w:rPr>
                <w:color w:val="FF0000"/>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rPr>
                <w:b/>
                <w:bCs/>
                <w:sz w:val="22"/>
                <w:szCs w:val="22"/>
              </w:rPr>
            </w:pPr>
            <w:r w:rsidRPr="0076292A">
              <w:rPr>
                <w:b/>
                <w:bCs/>
                <w:sz w:val="22"/>
                <w:szCs w:val="22"/>
              </w:rPr>
              <w:t>Наличие кворума:</w:t>
            </w:r>
          </w:p>
        </w:tc>
        <w:tc>
          <w:tcPr>
            <w:tcW w:w="1843" w:type="dxa"/>
            <w:shd w:val="clear" w:color="auto" w:fill="auto"/>
            <w:vAlign w:val="bottom"/>
          </w:tcPr>
          <w:p w:rsidR="001B2BAE" w:rsidRPr="0076292A" w:rsidRDefault="001B2BAE" w:rsidP="001B2BAE">
            <w:pPr>
              <w:keepNext/>
              <w:spacing w:before="40" w:after="40"/>
              <w:jc w:val="center"/>
              <w:rPr>
                <w:b/>
                <w:bCs/>
                <w:sz w:val="22"/>
                <w:szCs w:val="22"/>
                <w:lang w:val="en-US"/>
              </w:rPr>
            </w:pPr>
            <w:r w:rsidRPr="0076292A">
              <w:rPr>
                <w:b/>
                <w:bCs/>
                <w:color w:val="FF0000"/>
                <w:sz w:val="22"/>
                <w:szCs w:val="22"/>
              </w:rPr>
              <w:t xml:space="preserve">     </w:t>
            </w:r>
            <w:proofErr w:type="spellStart"/>
            <w:proofErr w:type="gramStart"/>
            <w:r w:rsidRPr="0076292A">
              <w:rPr>
                <w:b/>
                <w:bCs/>
                <w:sz w:val="22"/>
                <w:szCs w:val="22"/>
                <w:lang w:val="en-US"/>
              </w:rPr>
              <w:t>есть</w:t>
            </w:r>
            <w:proofErr w:type="spellEnd"/>
            <w:proofErr w:type="gramEnd"/>
            <w:r w:rsidRPr="0076292A">
              <w:rPr>
                <w:b/>
                <w:bCs/>
                <w:sz w:val="22"/>
                <w:szCs w:val="22"/>
                <w:lang w:val="en-US"/>
              </w:rPr>
              <w:t xml:space="preserve"> (99,76%)</w:t>
            </w:r>
          </w:p>
        </w:tc>
      </w:tr>
    </w:tbl>
    <w:p w:rsidR="001B2BAE" w:rsidRPr="0076292A" w:rsidRDefault="001B2BAE" w:rsidP="001B2BAE">
      <w:pPr>
        <w:jc w:val="both"/>
        <w:rPr>
          <w:b/>
          <w:sz w:val="22"/>
          <w:szCs w:val="22"/>
        </w:rPr>
      </w:pPr>
      <w:r>
        <w:rPr>
          <w:b/>
          <w:sz w:val="22"/>
          <w:szCs w:val="22"/>
        </w:rPr>
        <w:lastRenderedPageBreak/>
        <w:t>Информация о наличии кворума по</w:t>
      </w:r>
      <w:r w:rsidRPr="0076292A">
        <w:rPr>
          <w:b/>
          <w:sz w:val="22"/>
          <w:szCs w:val="22"/>
        </w:rPr>
        <w:t xml:space="preserve"> </w:t>
      </w:r>
      <w:r w:rsidRPr="0076292A">
        <w:rPr>
          <w:b/>
          <w:bCs/>
          <w:sz w:val="22"/>
          <w:szCs w:val="22"/>
        </w:rPr>
        <w:t>вопрос</w:t>
      </w:r>
      <w:r w:rsidR="0001083D">
        <w:rPr>
          <w:b/>
          <w:bCs/>
          <w:sz w:val="22"/>
          <w:szCs w:val="22"/>
        </w:rPr>
        <w:t>у</w:t>
      </w:r>
      <w:r w:rsidRPr="0076292A">
        <w:rPr>
          <w:b/>
          <w:sz w:val="22"/>
          <w:szCs w:val="22"/>
        </w:rPr>
        <w:t xml:space="preserve"> повестки дня, определенного по данным участия в общем собрании акционеров - владельцев голосующих акци</w:t>
      </w:r>
      <w:r w:rsidR="0001083D">
        <w:rPr>
          <w:b/>
          <w:sz w:val="22"/>
          <w:szCs w:val="22"/>
        </w:rPr>
        <w:t>й, не заинтересованных в сделке</w:t>
      </w:r>
      <w:r w:rsidRPr="0076292A">
        <w:rPr>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1B2BAE" w:rsidRPr="0076292A" w:rsidTr="001B2BAE">
        <w:trPr>
          <w:cantSplit/>
        </w:trPr>
        <w:tc>
          <w:tcPr>
            <w:tcW w:w="7520" w:type="dxa"/>
            <w:shd w:val="clear" w:color="auto" w:fill="auto"/>
          </w:tcPr>
          <w:p w:rsidR="001B2BAE" w:rsidRPr="0076292A" w:rsidRDefault="001B2BAE" w:rsidP="00146BAD">
            <w:pPr>
              <w:keepNext/>
              <w:spacing w:before="40" w:after="40"/>
              <w:jc w:val="both"/>
              <w:rPr>
                <w:sz w:val="22"/>
                <w:szCs w:val="22"/>
              </w:rPr>
            </w:pPr>
            <w:r w:rsidRPr="0076292A">
              <w:rPr>
                <w:sz w:val="22"/>
                <w:szCs w:val="22"/>
              </w:rPr>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30" w:type="dxa"/>
            <w:shd w:val="clear" w:color="auto" w:fill="auto"/>
            <w:vAlign w:val="bottom"/>
          </w:tcPr>
          <w:p w:rsidR="001B2BAE" w:rsidRPr="0076292A" w:rsidRDefault="001B2BAE" w:rsidP="00146BAD">
            <w:pPr>
              <w:keepNext/>
              <w:spacing w:before="40" w:after="40"/>
              <w:ind w:firstLine="720"/>
              <w:jc w:val="right"/>
              <w:rPr>
                <w:sz w:val="22"/>
                <w:szCs w:val="22"/>
                <w:lang w:val="en-US"/>
              </w:rPr>
            </w:pPr>
            <w:r w:rsidRPr="0076292A">
              <w:rPr>
                <w:sz w:val="22"/>
                <w:szCs w:val="22"/>
                <w:lang w:val="en-US"/>
              </w:rPr>
              <w:t>24 690</w:t>
            </w:r>
          </w:p>
          <w:p w:rsidR="001B2BAE" w:rsidRPr="0076292A" w:rsidRDefault="001B2BAE" w:rsidP="00146BAD">
            <w:pPr>
              <w:keepNext/>
              <w:spacing w:before="40" w:after="40"/>
              <w:jc w:val="right"/>
              <w:rPr>
                <w:sz w:val="22"/>
                <w:szCs w:val="22"/>
                <w:lang w:val="en-US"/>
              </w:rPr>
            </w:pPr>
          </w:p>
        </w:tc>
      </w:tr>
      <w:tr w:rsidR="001B2BAE" w:rsidRPr="0076292A" w:rsidTr="001B2BAE">
        <w:trPr>
          <w:cantSplit/>
        </w:trPr>
        <w:tc>
          <w:tcPr>
            <w:tcW w:w="7520" w:type="dxa"/>
            <w:shd w:val="clear" w:color="auto" w:fill="auto"/>
          </w:tcPr>
          <w:p w:rsidR="001B2BAE" w:rsidRPr="0076292A" w:rsidRDefault="001B2BAE" w:rsidP="00146BAD">
            <w:pPr>
              <w:keepNext/>
              <w:spacing w:before="40" w:after="40"/>
              <w:jc w:val="both"/>
              <w:rPr>
                <w:sz w:val="22"/>
                <w:szCs w:val="22"/>
              </w:rPr>
            </w:pPr>
            <w:r w:rsidRPr="0076292A">
              <w:rPr>
                <w:sz w:val="22"/>
                <w:szCs w:val="22"/>
              </w:rPr>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76292A">
              <w:rPr>
                <w:sz w:val="22"/>
                <w:szCs w:val="22"/>
              </w:rPr>
              <w:t>пз</w:t>
            </w:r>
            <w:proofErr w:type="spellEnd"/>
            <w:r w:rsidRPr="0076292A">
              <w:rPr>
                <w:sz w:val="22"/>
                <w:szCs w:val="22"/>
              </w:rPr>
              <w:t>-н:</w:t>
            </w:r>
          </w:p>
        </w:tc>
        <w:tc>
          <w:tcPr>
            <w:tcW w:w="1830" w:type="dxa"/>
            <w:shd w:val="clear" w:color="auto" w:fill="auto"/>
            <w:vAlign w:val="bottom"/>
          </w:tcPr>
          <w:p w:rsidR="001B2BAE" w:rsidRPr="0076292A" w:rsidRDefault="001B2BAE" w:rsidP="00146BAD">
            <w:pPr>
              <w:keepNext/>
              <w:spacing w:before="40" w:after="40"/>
              <w:ind w:firstLine="720"/>
              <w:jc w:val="right"/>
              <w:rPr>
                <w:sz w:val="22"/>
                <w:szCs w:val="22"/>
                <w:lang w:val="en-US"/>
              </w:rPr>
            </w:pPr>
            <w:r w:rsidRPr="0076292A">
              <w:rPr>
                <w:sz w:val="22"/>
                <w:szCs w:val="22"/>
                <w:lang w:val="en-US"/>
              </w:rPr>
              <w:t>24 690</w:t>
            </w:r>
          </w:p>
          <w:p w:rsidR="001B2BAE" w:rsidRPr="0076292A" w:rsidRDefault="001B2BAE" w:rsidP="00146BAD">
            <w:pPr>
              <w:keepNext/>
              <w:spacing w:before="40" w:after="40"/>
              <w:jc w:val="right"/>
              <w:rPr>
                <w:sz w:val="22"/>
                <w:szCs w:val="22"/>
                <w:lang w:val="en-US"/>
              </w:rPr>
            </w:pPr>
          </w:p>
        </w:tc>
      </w:tr>
      <w:tr w:rsidR="001B2BAE" w:rsidRPr="0076292A" w:rsidTr="001B2BAE">
        <w:trPr>
          <w:cantSplit/>
        </w:trPr>
        <w:tc>
          <w:tcPr>
            <w:tcW w:w="7520" w:type="dxa"/>
            <w:shd w:val="clear" w:color="auto" w:fill="auto"/>
          </w:tcPr>
          <w:p w:rsidR="001B2BAE" w:rsidRPr="0076292A" w:rsidRDefault="001B2BAE" w:rsidP="00146BAD">
            <w:pPr>
              <w:keepNext/>
              <w:spacing w:before="40" w:after="40"/>
              <w:jc w:val="both"/>
              <w:rPr>
                <w:sz w:val="22"/>
                <w:szCs w:val="22"/>
              </w:rPr>
            </w:pPr>
            <w:r w:rsidRPr="0076292A">
              <w:rPr>
                <w:sz w:val="22"/>
                <w:szCs w:val="22"/>
              </w:rPr>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1B2BAE" w:rsidRPr="0076292A" w:rsidRDefault="001B2BAE" w:rsidP="00146BAD">
            <w:pPr>
              <w:keepNext/>
              <w:spacing w:before="40" w:after="40"/>
              <w:jc w:val="right"/>
              <w:rPr>
                <w:sz w:val="22"/>
                <w:szCs w:val="22"/>
                <w:lang w:val="en-US"/>
              </w:rPr>
            </w:pPr>
            <w:r w:rsidRPr="0076292A">
              <w:rPr>
                <w:sz w:val="22"/>
                <w:szCs w:val="22"/>
                <w:lang w:val="en-US"/>
              </w:rPr>
              <w:t>20 382</w:t>
            </w:r>
          </w:p>
        </w:tc>
      </w:tr>
      <w:tr w:rsidR="001B2BAE" w:rsidRPr="0076292A" w:rsidTr="001B2BAE">
        <w:trPr>
          <w:cantSplit/>
        </w:trPr>
        <w:tc>
          <w:tcPr>
            <w:tcW w:w="7520" w:type="dxa"/>
            <w:shd w:val="clear" w:color="auto" w:fill="auto"/>
          </w:tcPr>
          <w:p w:rsidR="001B2BAE" w:rsidRPr="0076292A" w:rsidRDefault="001B2BAE" w:rsidP="00146BAD">
            <w:pPr>
              <w:keepNext/>
              <w:spacing w:before="40" w:after="40"/>
              <w:rPr>
                <w:b/>
                <w:bCs/>
                <w:sz w:val="22"/>
                <w:szCs w:val="22"/>
              </w:rPr>
            </w:pPr>
            <w:r w:rsidRPr="0076292A">
              <w:rPr>
                <w:b/>
                <w:bCs/>
                <w:sz w:val="22"/>
                <w:szCs w:val="22"/>
              </w:rPr>
              <w:t>Наличие кворума:</w:t>
            </w:r>
          </w:p>
        </w:tc>
        <w:tc>
          <w:tcPr>
            <w:tcW w:w="1830" w:type="dxa"/>
            <w:shd w:val="clear" w:color="auto" w:fill="auto"/>
            <w:vAlign w:val="bottom"/>
          </w:tcPr>
          <w:p w:rsidR="001B2BAE" w:rsidRPr="0076292A" w:rsidRDefault="009212C0" w:rsidP="00146BAD">
            <w:pPr>
              <w:keepNext/>
              <w:spacing w:before="40" w:after="40"/>
              <w:jc w:val="center"/>
              <w:rPr>
                <w:b/>
                <w:bCs/>
                <w:sz w:val="22"/>
                <w:szCs w:val="22"/>
                <w:lang w:val="en-US"/>
              </w:rPr>
            </w:pPr>
            <w:r>
              <w:rPr>
                <w:b/>
                <w:bCs/>
                <w:sz w:val="22"/>
                <w:szCs w:val="22"/>
              </w:rPr>
              <w:t xml:space="preserve">                  </w:t>
            </w:r>
            <w:r>
              <w:rPr>
                <w:b/>
                <w:bCs/>
                <w:sz w:val="22"/>
                <w:szCs w:val="22"/>
                <w:lang w:val="en-US"/>
              </w:rPr>
              <w:t>***</w:t>
            </w:r>
          </w:p>
        </w:tc>
      </w:tr>
    </w:tbl>
    <w:p w:rsidR="0001083D" w:rsidRPr="00C27A38" w:rsidRDefault="0001083D" w:rsidP="0001083D">
      <w:pPr>
        <w:jc w:val="both"/>
        <w:rPr>
          <w:i/>
          <w:sz w:val="22"/>
          <w:szCs w:val="22"/>
        </w:rPr>
      </w:pPr>
      <w:r w:rsidRPr="00C27A38">
        <w:rPr>
          <w:i/>
          <w:sz w:val="22"/>
          <w:szCs w:val="22"/>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1083D" w:rsidRPr="00C27A38" w:rsidRDefault="0001083D" w:rsidP="0001083D">
      <w:pPr>
        <w:autoSpaceDE w:val="0"/>
        <w:autoSpaceDN w:val="0"/>
        <w:adjustRightInd w:val="0"/>
        <w:jc w:val="both"/>
        <w:rPr>
          <w:i/>
          <w:sz w:val="22"/>
          <w:szCs w:val="22"/>
        </w:rPr>
      </w:pPr>
      <w:r w:rsidRPr="00C27A38">
        <w:rPr>
          <w:rFonts w:ascii="Arial" w:hAnsi="Arial" w:cs="Arial"/>
          <w:sz w:val="20"/>
          <w:szCs w:val="20"/>
        </w:rPr>
        <w:t xml:space="preserve">*** </w:t>
      </w:r>
      <w:r w:rsidRPr="00C27A38">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w:t>
      </w:r>
      <w:r w:rsidR="00B84D5F">
        <w:t>ения</w:t>
      </w:r>
      <w:r w:rsidR="006872B9">
        <w:t xml:space="preserve"> по всем вопросам</w:t>
      </w:r>
      <w:r w:rsidR="00B84D5F">
        <w:t xml:space="preserve"> повестки дня имелс</w:t>
      </w:r>
      <w:r w:rsidRPr="00A41B09">
        <w:t>я.</w:t>
      </w:r>
    </w:p>
    <w:p w:rsidR="00055939" w:rsidRPr="005137B5" w:rsidRDefault="00055939" w:rsidP="00055939">
      <w:pPr>
        <w:spacing w:before="60"/>
        <w:jc w:val="center"/>
        <w:rPr>
          <w:b/>
          <w:sz w:val="22"/>
          <w:szCs w:val="22"/>
          <w:u w:val="single"/>
        </w:rPr>
      </w:pPr>
      <w:r w:rsidRPr="005137B5">
        <w:rPr>
          <w:b/>
          <w:sz w:val="22"/>
          <w:szCs w:val="22"/>
          <w:u w:val="single"/>
        </w:rPr>
        <w:t>Повестка дня внеочередного общего собрания акционеров:</w:t>
      </w:r>
    </w:p>
    <w:p w:rsidR="0001083D" w:rsidRPr="00C47E52" w:rsidRDefault="0001083D" w:rsidP="0001083D">
      <w:pPr>
        <w:jc w:val="both"/>
        <w:rPr>
          <w:sz w:val="22"/>
          <w:szCs w:val="22"/>
        </w:rPr>
      </w:pPr>
      <w:r w:rsidRPr="00C47E52">
        <w:rPr>
          <w:sz w:val="22"/>
          <w:szCs w:val="22"/>
        </w:rPr>
        <w:t xml:space="preserve">1). О согласии на совершение Обществом сделки, </w:t>
      </w:r>
      <w:r w:rsidRPr="00C47E52">
        <w:rPr>
          <w:iCs/>
          <w:sz w:val="22"/>
          <w:szCs w:val="22"/>
        </w:rPr>
        <w:t xml:space="preserve">взаимосвязанной с ранее заключенным Обществом Договором поручительства №2679-15/П3 от 21.12.2015 г. в редакции Дополнительного соглашения №1 от 19.12.2016г., которые по совокупности признаются  крупными, </w:t>
      </w:r>
      <w:r w:rsidRPr="00C47E52">
        <w:rPr>
          <w:sz w:val="22"/>
          <w:szCs w:val="22"/>
        </w:rPr>
        <w:t>в совершении которой имеется заинтересованность – заключение с ПАО Банком «ФК Открытие» Договора поручительства №164-9/П1  (далее – Договор поручительства)  в целях обеспечения исполнения обязательств АО «ГИДРОМАШСЕРВИС» по Договору №164-9/А об открытии резервного аккредитива от 18.05.2009г. в редакции  Дополнительных соглашений к Договору №164-9/А об открытии резервного аккредитива от «18» мая 2009 года.</w:t>
      </w:r>
    </w:p>
    <w:p w:rsidR="00217243" w:rsidRPr="005137B5" w:rsidRDefault="00217243" w:rsidP="00217243">
      <w:pPr>
        <w:tabs>
          <w:tab w:val="left" w:pos="993"/>
        </w:tabs>
        <w:jc w:val="both"/>
        <w:rPr>
          <w:sz w:val="22"/>
          <w:szCs w:val="22"/>
        </w:rPr>
      </w:pPr>
    </w:p>
    <w:p w:rsidR="00055939" w:rsidRPr="005137B5" w:rsidRDefault="00055939" w:rsidP="00055939">
      <w:pPr>
        <w:jc w:val="center"/>
        <w:rPr>
          <w:b/>
          <w:sz w:val="22"/>
          <w:szCs w:val="22"/>
          <w:u w:val="single"/>
        </w:rPr>
      </w:pPr>
      <w:r w:rsidRPr="005137B5">
        <w:rPr>
          <w:b/>
          <w:sz w:val="22"/>
          <w:szCs w:val="22"/>
          <w:u w:val="single"/>
        </w:rPr>
        <w:t>Результат</w:t>
      </w:r>
      <w:r w:rsidR="0001083D">
        <w:rPr>
          <w:b/>
          <w:sz w:val="22"/>
          <w:szCs w:val="22"/>
          <w:u w:val="single"/>
        </w:rPr>
        <w:t xml:space="preserve"> голосования и формулировка решения</w:t>
      </w:r>
    </w:p>
    <w:p w:rsidR="00055939" w:rsidRPr="005137B5" w:rsidRDefault="0001083D" w:rsidP="00055939">
      <w:pPr>
        <w:jc w:val="center"/>
        <w:rPr>
          <w:b/>
          <w:sz w:val="22"/>
          <w:szCs w:val="22"/>
          <w:u w:val="single"/>
        </w:rPr>
      </w:pPr>
      <w:r>
        <w:rPr>
          <w:b/>
          <w:sz w:val="22"/>
          <w:szCs w:val="22"/>
          <w:u w:val="single"/>
        </w:rPr>
        <w:t>по вопросу</w:t>
      </w:r>
      <w:r w:rsidR="00055939" w:rsidRPr="005137B5">
        <w:rPr>
          <w:b/>
          <w:sz w:val="22"/>
          <w:szCs w:val="22"/>
          <w:u w:val="single"/>
        </w:rPr>
        <w:t xml:space="preserve"> повестки дня внеочередного общего собрания акционеров Общества:</w:t>
      </w:r>
    </w:p>
    <w:p w:rsidR="000A7F39" w:rsidRPr="005137B5" w:rsidRDefault="000A7F39" w:rsidP="00055939">
      <w:pPr>
        <w:jc w:val="center"/>
        <w:rPr>
          <w:b/>
          <w:sz w:val="22"/>
          <w:szCs w:val="22"/>
        </w:rPr>
      </w:pPr>
    </w:p>
    <w:p w:rsidR="0042279D" w:rsidRDefault="001E5582" w:rsidP="0042279D">
      <w:pPr>
        <w:jc w:val="both"/>
        <w:rPr>
          <w:b/>
          <w:caps/>
          <w:sz w:val="22"/>
          <w:szCs w:val="22"/>
        </w:rPr>
      </w:pPr>
      <w:r>
        <w:rPr>
          <w:b/>
          <w:caps/>
          <w:sz w:val="22"/>
          <w:szCs w:val="22"/>
        </w:rPr>
        <w:t>По вопросу № 1</w:t>
      </w:r>
      <w:r w:rsidR="0042279D" w:rsidRPr="005137B5">
        <w:rPr>
          <w:b/>
          <w:caps/>
          <w:sz w:val="22"/>
          <w:szCs w:val="22"/>
        </w:rPr>
        <w:t xml:space="preserve">: </w:t>
      </w:r>
    </w:p>
    <w:p w:rsidR="0001083D" w:rsidRPr="00C47E52" w:rsidRDefault="0001083D" w:rsidP="0001083D">
      <w:pPr>
        <w:jc w:val="both"/>
        <w:rPr>
          <w:sz w:val="22"/>
          <w:szCs w:val="22"/>
        </w:rPr>
      </w:pPr>
      <w:r w:rsidRPr="00C47E52">
        <w:rPr>
          <w:sz w:val="22"/>
          <w:szCs w:val="22"/>
        </w:rPr>
        <w:t xml:space="preserve">О согласии на совершение Обществом сделки, </w:t>
      </w:r>
      <w:r w:rsidRPr="00C47E52">
        <w:rPr>
          <w:iCs/>
          <w:sz w:val="22"/>
          <w:szCs w:val="22"/>
        </w:rPr>
        <w:t xml:space="preserve">взаимосвязанной с ранее заключенным Обществом Договором поручительства №2679-15/П3 от 21.12.2015 г. в редакции Дополнительного соглашения №1 от 19.12.2016г., которые по совокупности признаются  крупными, </w:t>
      </w:r>
      <w:r w:rsidRPr="00C47E52">
        <w:rPr>
          <w:sz w:val="22"/>
          <w:szCs w:val="22"/>
        </w:rPr>
        <w:t xml:space="preserve">в совершении которой имеется заинтересованность – заключение с ПАО Банком «ФК Открытие» Договора поручительства №164-9/П1  (далее – Договор поручительства)  в целях обеспечения исполнения обязательств АО «ГИДРОМАШСЕРВИС» по Договору №164-9/А об открытии резервного аккредитива от </w:t>
      </w:r>
      <w:r w:rsidRPr="00C47E52">
        <w:rPr>
          <w:sz w:val="22"/>
          <w:szCs w:val="22"/>
        </w:rPr>
        <w:lastRenderedPageBreak/>
        <w:t>18.05.2009г. в редакции  Дополнительных соглашений к Договору №164-9/А об открытии резервного аккредитива от «18» мая 2009 года.</w:t>
      </w:r>
    </w:p>
    <w:p w:rsidR="0042279D" w:rsidRPr="005137B5" w:rsidRDefault="0042279D" w:rsidP="0042279D">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279D" w:rsidRPr="005137B5" w:rsidRDefault="0042279D" w:rsidP="00BA2763">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42279D" w:rsidRPr="005137B5" w:rsidRDefault="008B421A" w:rsidP="00BA2763">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bCs/>
                <w:sz w:val="22"/>
                <w:szCs w:val="22"/>
              </w:rPr>
            </w:pPr>
            <w:r w:rsidRPr="005137B5">
              <w:rPr>
                <w:bCs/>
                <w:sz w:val="22"/>
                <w:szCs w:val="22"/>
              </w:rPr>
              <w:t>100</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r>
    </w:tbl>
    <w:p w:rsidR="00C27A38" w:rsidRDefault="00C27A38" w:rsidP="00C27A38">
      <w:pPr>
        <w:pStyle w:val="af0"/>
        <w:ind w:firstLine="708"/>
        <w:jc w:val="both"/>
        <w:rPr>
          <w:rStyle w:val="fontstyle01"/>
          <w:b/>
          <w:color w:val="1F4E79"/>
          <w:sz w:val="22"/>
          <w:szCs w:val="22"/>
        </w:rPr>
      </w:pPr>
    </w:p>
    <w:p w:rsidR="00C27A38" w:rsidRPr="00C27A38" w:rsidRDefault="00C27A38" w:rsidP="00C27A38">
      <w:pPr>
        <w:pStyle w:val="af0"/>
        <w:ind w:firstLine="708"/>
        <w:jc w:val="both"/>
        <w:rPr>
          <w:sz w:val="22"/>
          <w:szCs w:val="22"/>
        </w:rPr>
      </w:pPr>
      <w:r w:rsidRPr="00C27A38">
        <w:rPr>
          <w:rStyle w:val="fontstyle01"/>
          <w:color w:val="auto"/>
          <w:sz w:val="22"/>
          <w:szCs w:val="22"/>
        </w:rPr>
        <w:t>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w:t>
      </w:r>
      <w:r w:rsidRPr="00C27A38">
        <w:rPr>
          <w:sz w:val="22"/>
          <w:szCs w:val="22"/>
        </w:rPr>
        <w:t xml:space="preserve"> </w:t>
      </w:r>
      <w:r w:rsidRPr="00C27A38">
        <w:rPr>
          <w:rStyle w:val="fontstyle01"/>
          <w:color w:val="auto"/>
          <w:sz w:val="22"/>
          <w:szCs w:val="22"/>
        </w:rPr>
        <w:t xml:space="preserve">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C27A38" w:rsidRPr="00C27A38" w:rsidRDefault="00C27A38" w:rsidP="00C27A38">
      <w:pPr>
        <w:pStyle w:val="af0"/>
        <w:ind w:firstLine="708"/>
        <w:jc w:val="both"/>
        <w:rPr>
          <w:sz w:val="22"/>
          <w:szCs w:val="22"/>
        </w:rPr>
      </w:pPr>
    </w:p>
    <w:p w:rsidR="00C27A38" w:rsidRPr="00C27A38" w:rsidRDefault="00C27A38" w:rsidP="00C27A38">
      <w:pPr>
        <w:pStyle w:val="af0"/>
        <w:ind w:firstLine="708"/>
        <w:jc w:val="both"/>
        <w:rPr>
          <w:sz w:val="22"/>
          <w:szCs w:val="22"/>
        </w:rPr>
      </w:pPr>
      <w:r w:rsidRPr="00C27A38">
        <w:rPr>
          <w:sz w:val="22"/>
          <w:szCs w:val="22"/>
        </w:rPr>
        <w:t>Подконтрольное лицо заинтересованных лиц по сделкам Общества согласно вопросу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указанных сделок, а также акционеров – подконтрольных заинтересованным лицам по указанным сделкам, нет.</w:t>
      </w:r>
    </w:p>
    <w:p w:rsidR="0042279D" w:rsidRPr="005137B5" w:rsidRDefault="0042279D" w:rsidP="0042279D">
      <w:pPr>
        <w:tabs>
          <w:tab w:val="left" w:pos="9000"/>
        </w:tabs>
        <w:rPr>
          <w:b/>
          <w:bCs/>
          <w:sz w:val="22"/>
          <w:szCs w:val="22"/>
        </w:rPr>
      </w:pPr>
    </w:p>
    <w:p w:rsidR="0042279D" w:rsidRPr="005137B5" w:rsidRDefault="0042279D" w:rsidP="0042279D">
      <w:pPr>
        <w:tabs>
          <w:tab w:val="left" w:pos="9000"/>
        </w:tabs>
        <w:rPr>
          <w:b/>
          <w:bCs/>
          <w:sz w:val="22"/>
          <w:szCs w:val="22"/>
        </w:rPr>
      </w:pPr>
      <w:r w:rsidRPr="005137B5">
        <w:rPr>
          <w:b/>
          <w:bCs/>
          <w:sz w:val="22"/>
          <w:szCs w:val="22"/>
        </w:rPr>
        <w:t>Кворум для принятия решения по данному вопросу имелся.</w:t>
      </w:r>
    </w:p>
    <w:p w:rsidR="0042279D" w:rsidRPr="005137B5" w:rsidRDefault="0042279D" w:rsidP="0042279D">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C27A38" w:rsidRPr="00AF72A0" w:rsidRDefault="00C27A38" w:rsidP="00C27A38">
      <w:pPr>
        <w:jc w:val="both"/>
        <w:rPr>
          <w:iCs/>
          <w:sz w:val="22"/>
          <w:szCs w:val="22"/>
        </w:rPr>
      </w:pPr>
      <w:r w:rsidRPr="00C47E52">
        <w:rPr>
          <w:sz w:val="22"/>
          <w:szCs w:val="22"/>
        </w:rPr>
        <w:t xml:space="preserve">Предоставить согласие на совершение Обществом сделки, </w:t>
      </w:r>
      <w:r w:rsidRPr="00C47E52">
        <w:rPr>
          <w:iCs/>
          <w:sz w:val="22"/>
          <w:szCs w:val="22"/>
        </w:rPr>
        <w:t>взаимосвязанной с ранее заключенным Обществом Договором поручител</w:t>
      </w:r>
      <w:r>
        <w:rPr>
          <w:iCs/>
          <w:sz w:val="22"/>
          <w:szCs w:val="22"/>
        </w:rPr>
        <w:t>ьства №2679-15/П3 от 21.12.2015</w:t>
      </w:r>
      <w:r w:rsidRPr="00C47E52">
        <w:rPr>
          <w:iCs/>
          <w:sz w:val="22"/>
          <w:szCs w:val="22"/>
        </w:rPr>
        <w:t xml:space="preserve">г.  в редакции Дополнительного соглашения №1 от 19.12.2016г., которые по совокупности признаются  крупными, и </w:t>
      </w:r>
      <w:r w:rsidRPr="00C47E52">
        <w:rPr>
          <w:sz w:val="22"/>
          <w:szCs w:val="22"/>
        </w:rPr>
        <w:t>в совершении которой имеется заинтересованность указанных ниже лиц</w:t>
      </w:r>
      <w:r w:rsidRPr="00C47E52">
        <w:rPr>
          <w:i/>
          <w:iCs/>
          <w:sz w:val="22"/>
          <w:szCs w:val="22"/>
        </w:rPr>
        <w:t xml:space="preserve">, </w:t>
      </w:r>
      <w:r w:rsidRPr="00C47E52">
        <w:rPr>
          <w:iCs/>
          <w:sz w:val="22"/>
          <w:szCs w:val="22"/>
        </w:rPr>
        <w:t xml:space="preserve">признаваемых заинтересованными в совершении сделки по нижеуказанным основаниям </w:t>
      </w:r>
      <w:r w:rsidRPr="00C47E52">
        <w:rPr>
          <w:sz w:val="22"/>
          <w:szCs w:val="22"/>
        </w:rPr>
        <w:t>– заключение с ПАО Банком «ФК Открытие» Договора поручительства №164-9/П1  (</w:t>
      </w:r>
      <w:r>
        <w:rPr>
          <w:sz w:val="22"/>
          <w:szCs w:val="22"/>
        </w:rPr>
        <w:t>далее – Договор поручительства)</w:t>
      </w:r>
      <w:r w:rsidRPr="00C47E52">
        <w:rPr>
          <w:sz w:val="22"/>
          <w:szCs w:val="22"/>
        </w:rPr>
        <w:t xml:space="preserve"> в целях обеспечения исполнения обязательств АО «ГИДРОМАШСЕРВИС» (ОГРН 1027739083580, ИНН 7733015025) по Договору №164-9/А об открытии резервного аккредитива от 18.05.2009г. в редакции  Дополнительных соглашений к Договору №164-9/А об открытии резервного аккредитива от «18» мая 2009 года:</w:t>
      </w:r>
      <w:r>
        <w:rPr>
          <w:iCs/>
          <w:sz w:val="22"/>
          <w:szCs w:val="22"/>
        </w:rPr>
        <w:t xml:space="preserve"> </w:t>
      </w:r>
      <w:r>
        <w:rPr>
          <w:sz w:val="22"/>
          <w:szCs w:val="22"/>
        </w:rPr>
        <w:t xml:space="preserve">№1 от </w:t>
      </w:r>
      <w:r w:rsidRPr="00C47E52">
        <w:rPr>
          <w:sz w:val="22"/>
          <w:szCs w:val="22"/>
        </w:rPr>
        <w:t>15.07.2009г., №2 от 28.09.2009г., № 3 от 15.12.2010г., № 4 от 29.03.2011г., № 5 от 28.06.2011г., № 6 от 22.08.2011г., № 7 от 01.08.2012г., № 8 от 08.02.2013г., № 9 от 03.04.2013г., № 10 от 13.05.2013г., № 11 от 06.11.2013г., № 12 от 24.01.2014г., № 13 от 10.04.2014г., № 14 от 24.06.2014г., № 15 от 19.09.2014г., № 16 от 12.12.2014г., № 17 от 18.03.2015г., № 18 от 20.05.2015г., № 19 от 20.08.2015г., № 20 от 25.11.2015г., № 21 от 20.01.2016г., № 22 от 18.05.2016г.,  № 23 от 09.09.2016г.,  № 24 от 13.01.2017г., № 25 от 26.07.2017г., № 26 от 16.01.2018г., № 27 от 13.04.2018г.,  № 28 от 12.10.2018 г. (далее - Дополнит</w:t>
      </w:r>
      <w:r>
        <w:rPr>
          <w:sz w:val="22"/>
          <w:szCs w:val="22"/>
        </w:rPr>
        <w:t>ельные соглашения), заключенных</w:t>
      </w:r>
      <w:r w:rsidRPr="00C47E52">
        <w:rPr>
          <w:sz w:val="22"/>
          <w:szCs w:val="22"/>
        </w:rPr>
        <w:t xml:space="preserve"> между АО «ГИДРОМАШСЕРВИС» и ПАО Банк «ФК Открытие». </w:t>
      </w:r>
    </w:p>
    <w:p w:rsidR="00C27A38" w:rsidRPr="00C47E52" w:rsidRDefault="00C27A38" w:rsidP="00C27A38">
      <w:pPr>
        <w:jc w:val="both"/>
        <w:rPr>
          <w:bCs/>
          <w:iCs/>
          <w:sz w:val="22"/>
          <w:szCs w:val="22"/>
        </w:rPr>
      </w:pPr>
      <w:r w:rsidRPr="00C47E52">
        <w:rPr>
          <w:b/>
          <w:bCs/>
          <w:iCs/>
          <w:sz w:val="22"/>
          <w:szCs w:val="22"/>
        </w:rPr>
        <w:t>Условия поручительства</w:t>
      </w:r>
      <w:r w:rsidRPr="00C47E52">
        <w:rPr>
          <w:bCs/>
          <w:iCs/>
          <w:sz w:val="22"/>
          <w:szCs w:val="22"/>
        </w:rPr>
        <w:t xml:space="preserve"> изложены в проекте Договора поручи</w:t>
      </w:r>
      <w:r>
        <w:rPr>
          <w:bCs/>
          <w:iCs/>
          <w:sz w:val="22"/>
          <w:szCs w:val="22"/>
        </w:rPr>
        <w:t xml:space="preserve">тельства (Приложение № 1 к </w:t>
      </w:r>
      <w:r w:rsidRPr="00C47E52">
        <w:rPr>
          <w:bCs/>
          <w:iCs/>
          <w:sz w:val="22"/>
          <w:szCs w:val="22"/>
        </w:rPr>
        <w:t>Протоколу</w:t>
      </w:r>
      <w:r>
        <w:rPr>
          <w:bCs/>
          <w:iCs/>
          <w:sz w:val="22"/>
          <w:szCs w:val="22"/>
        </w:rPr>
        <w:t xml:space="preserve"> настоящего внеочередного общего собрания акционеров Общества</w:t>
      </w:r>
      <w:r w:rsidRPr="00C47E52">
        <w:rPr>
          <w:bCs/>
          <w:iCs/>
          <w:sz w:val="22"/>
          <w:szCs w:val="22"/>
        </w:rPr>
        <w:t xml:space="preserve">), </w:t>
      </w:r>
      <w:r w:rsidRPr="00C47E52">
        <w:rPr>
          <w:b/>
          <w:bCs/>
          <w:iCs/>
          <w:sz w:val="22"/>
          <w:szCs w:val="22"/>
        </w:rPr>
        <w:t>условия обеспечиваемого поручительством обязательства</w:t>
      </w:r>
      <w:r w:rsidRPr="00C47E52">
        <w:rPr>
          <w:bCs/>
          <w:iCs/>
          <w:sz w:val="22"/>
          <w:szCs w:val="22"/>
        </w:rPr>
        <w:t xml:space="preserve"> изложены в</w:t>
      </w:r>
      <w:r w:rsidRPr="00C47E52">
        <w:rPr>
          <w:b/>
          <w:i/>
          <w:iCs/>
          <w:sz w:val="22"/>
          <w:szCs w:val="22"/>
        </w:rPr>
        <w:t xml:space="preserve"> </w:t>
      </w:r>
      <w:r w:rsidRPr="00C47E52">
        <w:rPr>
          <w:iCs/>
          <w:sz w:val="22"/>
          <w:szCs w:val="22"/>
        </w:rPr>
        <w:t>Договоре</w:t>
      </w:r>
      <w:r w:rsidRPr="00C47E52">
        <w:rPr>
          <w:b/>
          <w:i/>
          <w:iCs/>
          <w:sz w:val="22"/>
          <w:szCs w:val="22"/>
        </w:rPr>
        <w:t xml:space="preserve"> </w:t>
      </w:r>
      <w:r w:rsidRPr="00C47E52">
        <w:rPr>
          <w:iCs/>
          <w:sz w:val="22"/>
          <w:szCs w:val="22"/>
        </w:rPr>
        <w:t>об открытии аккредитива,</w:t>
      </w:r>
      <w:r w:rsidRPr="00C47E52">
        <w:rPr>
          <w:bCs/>
          <w:iCs/>
          <w:sz w:val="22"/>
          <w:szCs w:val="22"/>
        </w:rPr>
        <w:t xml:space="preserve"> №164-9/А от 18.05.2009 г. и Дополнительных соглашениях к Договору №164-9/А об открытии резервного аккредитива от «18» мая 2009 года (</w:t>
      </w:r>
      <w:r>
        <w:rPr>
          <w:bCs/>
          <w:iCs/>
          <w:sz w:val="22"/>
          <w:szCs w:val="22"/>
        </w:rPr>
        <w:t xml:space="preserve">Приложение № 2 к </w:t>
      </w:r>
      <w:r w:rsidRPr="00C47E52">
        <w:rPr>
          <w:bCs/>
          <w:iCs/>
          <w:sz w:val="22"/>
          <w:szCs w:val="22"/>
        </w:rPr>
        <w:t xml:space="preserve"> Протоколу</w:t>
      </w:r>
      <w:r>
        <w:rPr>
          <w:bCs/>
          <w:iCs/>
          <w:sz w:val="22"/>
          <w:szCs w:val="22"/>
        </w:rPr>
        <w:t xml:space="preserve"> настоящего внеочередного общего собрания акционеров Общества</w:t>
      </w:r>
      <w:r w:rsidRPr="00C47E52">
        <w:rPr>
          <w:bCs/>
          <w:iCs/>
          <w:sz w:val="22"/>
          <w:szCs w:val="22"/>
        </w:rPr>
        <w:t>) с которыми акционеры Общества были ознакомлены.</w:t>
      </w:r>
    </w:p>
    <w:p w:rsidR="00C27A38" w:rsidRPr="00C47E52" w:rsidRDefault="00C27A38" w:rsidP="00C27A38">
      <w:pPr>
        <w:pStyle w:val="af0"/>
        <w:ind w:firstLine="708"/>
        <w:jc w:val="both"/>
        <w:rPr>
          <w:sz w:val="22"/>
          <w:szCs w:val="22"/>
        </w:rPr>
      </w:pPr>
    </w:p>
    <w:p w:rsidR="00C27A38" w:rsidRPr="00C47E52" w:rsidRDefault="00C27A38" w:rsidP="00C27A38">
      <w:pPr>
        <w:rPr>
          <w:sz w:val="22"/>
          <w:szCs w:val="22"/>
          <w:u w:val="single"/>
        </w:rPr>
      </w:pPr>
      <w:r w:rsidRPr="00C47E52">
        <w:rPr>
          <w:sz w:val="22"/>
          <w:szCs w:val="22"/>
          <w:u w:val="single"/>
        </w:rPr>
        <w:t>Стороны сделки:</w:t>
      </w:r>
    </w:p>
    <w:p w:rsidR="00C27A38" w:rsidRPr="00C47E52" w:rsidRDefault="00C27A38" w:rsidP="00C27A38">
      <w:pPr>
        <w:jc w:val="both"/>
        <w:rPr>
          <w:sz w:val="22"/>
          <w:szCs w:val="22"/>
        </w:rPr>
      </w:pPr>
      <w:r w:rsidRPr="00C47E52">
        <w:rPr>
          <w:sz w:val="22"/>
          <w:szCs w:val="22"/>
        </w:rPr>
        <w:t>Банк (Эмитент): ПАО Банк «ФК Открытие»</w:t>
      </w:r>
    </w:p>
    <w:p w:rsidR="00C27A38" w:rsidRPr="00C47E52" w:rsidRDefault="00C27A38" w:rsidP="00C27A38">
      <w:pPr>
        <w:jc w:val="both"/>
        <w:rPr>
          <w:sz w:val="22"/>
          <w:szCs w:val="22"/>
        </w:rPr>
      </w:pPr>
      <w:r w:rsidRPr="00C47E52">
        <w:rPr>
          <w:sz w:val="22"/>
          <w:szCs w:val="22"/>
        </w:rPr>
        <w:t>Поручитель: АО «</w:t>
      </w:r>
      <w:proofErr w:type="spellStart"/>
      <w:r w:rsidRPr="00C47E52">
        <w:rPr>
          <w:sz w:val="22"/>
          <w:szCs w:val="22"/>
        </w:rPr>
        <w:t>Сибнефтемаш</w:t>
      </w:r>
      <w:proofErr w:type="spellEnd"/>
      <w:r w:rsidRPr="00C47E52">
        <w:rPr>
          <w:sz w:val="22"/>
          <w:szCs w:val="22"/>
        </w:rPr>
        <w:t>»</w:t>
      </w:r>
    </w:p>
    <w:p w:rsidR="00C27A38" w:rsidRPr="00C47E52" w:rsidRDefault="00C27A38" w:rsidP="00C27A38">
      <w:pPr>
        <w:jc w:val="both"/>
        <w:rPr>
          <w:sz w:val="22"/>
          <w:szCs w:val="22"/>
        </w:rPr>
      </w:pPr>
      <w:r w:rsidRPr="00C47E52">
        <w:rPr>
          <w:sz w:val="22"/>
          <w:szCs w:val="22"/>
        </w:rPr>
        <w:t>Принципал (</w:t>
      </w:r>
      <w:proofErr w:type="spellStart"/>
      <w:r w:rsidRPr="00C47E52">
        <w:rPr>
          <w:sz w:val="22"/>
          <w:szCs w:val="22"/>
        </w:rPr>
        <w:t>Аппликант</w:t>
      </w:r>
      <w:proofErr w:type="spellEnd"/>
      <w:r w:rsidRPr="00C47E52">
        <w:rPr>
          <w:sz w:val="22"/>
          <w:szCs w:val="22"/>
        </w:rPr>
        <w:t>): АО «ГИДРОМАШСЕРВИС»</w:t>
      </w:r>
    </w:p>
    <w:p w:rsidR="00C27A38" w:rsidRPr="00C47E52" w:rsidRDefault="00C27A38" w:rsidP="00C27A38">
      <w:pPr>
        <w:jc w:val="both"/>
        <w:rPr>
          <w:sz w:val="22"/>
          <w:szCs w:val="22"/>
        </w:rPr>
      </w:pPr>
    </w:p>
    <w:p w:rsidR="00C27A38" w:rsidRPr="00C47E52" w:rsidRDefault="00C27A38" w:rsidP="00C27A38">
      <w:pPr>
        <w:jc w:val="both"/>
        <w:rPr>
          <w:sz w:val="22"/>
          <w:szCs w:val="22"/>
          <w:u w:val="single"/>
        </w:rPr>
      </w:pPr>
      <w:r w:rsidRPr="00C47E52">
        <w:rPr>
          <w:sz w:val="22"/>
          <w:szCs w:val="22"/>
          <w:u w:val="single"/>
        </w:rPr>
        <w:lastRenderedPageBreak/>
        <w:t>Основания отнесения сделки к крупной:</w:t>
      </w:r>
    </w:p>
    <w:p w:rsidR="00C27A38" w:rsidRPr="00C47E52" w:rsidRDefault="00C27A38" w:rsidP="00C27A38">
      <w:pPr>
        <w:jc w:val="both"/>
        <w:rPr>
          <w:b/>
          <w:sz w:val="22"/>
          <w:szCs w:val="22"/>
        </w:rPr>
      </w:pPr>
      <w:r w:rsidRPr="00C47E52">
        <w:rPr>
          <w:bCs/>
          <w:sz w:val="22"/>
          <w:szCs w:val="22"/>
        </w:rPr>
        <w:t>Сделка по предоставлению поручительства и ранее совершенная Обществом взаимосвязанная сделка по заключению с ПАО Банком «ФК Открытие» Договора поручительства юридического лица № 2679-15/П1 от 16.10.2015г.,</w:t>
      </w:r>
      <w:r w:rsidRPr="00C47E52">
        <w:rPr>
          <w:sz w:val="22"/>
          <w:szCs w:val="22"/>
        </w:rPr>
        <w:t xml:space="preserve"> в редакции Дополнительного соглашения №1 от 19.12.2016г.,</w:t>
      </w:r>
      <w:r w:rsidRPr="00C47E52">
        <w:rPr>
          <w:bCs/>
          <w:sz w:val="22"/>
          <w:szCs w:val="22"/>
        </w:rPr>
        <w:t xml:space="preserve"> по совокупности являются для </w:t>
      </w:r>
      <w:r w:rsidRPr="00C47E52">
        <w:rPr>
          <w:sz w:val="22"/>
          <w:szCs w:val="22"/>
        </w:rPr>
        <w:t xml:space="preserve">Общества </w:t>
      </w:r>
      <w:r w:rsidRPr="00C47E52">
        <w:rPr>
          <w:bCs/>
          <w:sz w:val="22"/>
          <w:szCs w:val="22"/>
        </w:rPr>
        <w:t>крупными, поскольку связаны с возможностью отчуждения имущества</w:t>
      </w:r>
      <w:r w:rsidRPr="00C47E52">
        <w:rPr>
          <w:sz w:val="22"/>
          <w:szCs w:val="22"/>
        </w:rPr>
        <w:t xml:space="preserve"> Общества</w:t>
      </w:r>
      <w:r w:rsidRPr="00C47E52">
        <w:rPr>
          <w:bCs/>
          <w:sz w:val="22"/>
          <w:szCs w:val="22"/>
        </w:rPr>
        <w:t xml:space="preserve">, стоимость которого составляет более 25% балансовой стоимости активов </w:t>
      </w:r>
      <w:r w:rsidRPr="00C47E52">
        <w:rPr>
          <w:sz w:val="22"/>
          <w:szCs w:val="22"/>
        </w:rPr>
        <w:t xml:space="preserve">Общества </w:t>
      </w:r>
      <w:r w:rsidRPr="00C47E52">
        <w:rPr>
          <w:b/>
          <w:sz w:val="22"/>
          <w:szCs w:val="22"/>
        </w:rPr>
        <w:t xml:space="preserve">по состоянию на 30.09.2018г. </w:t>
      </w:r>
    </w:p>
    <w:p w:rsidR="00C27A38" w:rsidRPr="00C47E52" w:rsidRDefault="00C27A38" w:rsidP="00C27A38">
      <w:pPr>
        <w:pStyle w:val="ac"/>
        <w:spacing w:before="0" w:beforeAutospacing="0" w:after="0" w:afterAutospacing="0"/>
        <w:rPr>
          <w:color w:val="FF0000"/>
          <w:sz w:val="22"/>
          <w:szCs w:val="22"/>
        </w:rPr>
      </w:pPr>
    </w:p>
    <w:p w:rsidR="00C27A38" w:rsidRPr="00C47E52" w:rsidRDefault="00C27A38" w:rsidP="00C27A38">
      <w:pPr>
        <w:ind w:right="-5"/>
        <w:jc w:val="both"/>
        <w:rPr>
          <w:i/>
          <w:sz w:val="22"/>
          <w:szCs w:val="22"/>
        </w:rPr>
      </w:pPr>
      <w:r w:rsidRPr="00C47E52">
        <w:rPr>
          <w:i/>
          <w:sz w:val="22"/>
          <w:szCs w:val="22"/>
        </w:rPr>
        <w:t xml:space="preserve">Согласно п.6 ст.83 Федерального закона </w:t>
      </w:r>
      <w:r w:rsidRPr="00C47E52">
        <w:rPr>
          <w:i/>
          <w:iCs/>
          <w:sz w:val="22"/>
          <w:szCs w:val="22"/>
        </w:rPr>
        <w:t>от 26.12.1995 N 208-ФЗ «Об акционерных обществах» указываются сведения о з</w:t>
      </w:r>
      <w:r w:rsidRPr="00C47E52">
        <w:rPr>
          <w:i/>
          <w:sz w:val="22"/>
          <w:szCs w:val="22"/>
        </w:rPr>
        <w:t>аинтересованных в совершении сделки лицах и основаниях заинтересованности таких лиц:</w:t>
      </w:r>
    </w:p>
    <w:p w:rsidR="00C27A38" w:rsidRPr="00C47E52" w:rsidRDefault="00C27A38" w:rsidP="00C27A38">
      <w:pPr>
        <w:jc w:val="both"/>
        <w:rPr>
          <w:sz w:val="22"/>
          <w:szCs w:val="22"/>
        </w:rPr>
      </w:pPr>
      <w:r w:rsidRPr="00C47E52">
        <w:rPr>
          <w:sz w:val="22"/>
          <w:szCs w:val="22"/>
        </w:rPr>
        <w:t xml:space="preserve">1. косвенно контролирующее лицо Общества - АО «Группа ГМС», ИНН 7708678325, ОГРН 5087746036483, является контролирующим лицом </w:t>
      </w:r>
      <w:r w:rsidRPr="00C47E52">
        <w:rPr>
          <w:iCs/>
          <w:sz w:val="22"/>
          <w:szCs w:val="22"/>
        </w:rPr>
        <w:t>АО «ГИДРОМАШСЕРВИС»</w:t>
      </w:r>
      <w:r w:rsidRPr="00C47E52">
        <w:rPr>
          <w:sz w:val="22"/>
          <w:szCs w:val="22"/>
        </w:rPr>
        <w:t xml:space="preserve"> - выгодоприобретателя по сделке;</w:t>
      </w:r>
    </w:p>
    <w:p w:rsidR="00C27A38" w:rsidRPr="00C47E52" w:rsidRDefault="00C27A38" w:rsidP="00C27A38">
      <w:pPr>
        <w:jc w:val="both"/>
        <w:rPr>
          <w:sz w:val="22"/>
          <w:szCs w:val="22"/>
        </w:rPr>
      </w:pPr>
      <w:r w:rsidRPr="00C47E52">
        <w:rPr>
          <w:sz w:val="22"/>
          <w:szCs w:val="22"/>
        </w:rPr>
        <w:t xml:space="preserve">2. косвенно контролирующее лицо Общества - HMS HYDRAULIC MACHINES &amp; SYSTEMS GROUP PLC, адрес: 5, </w:t>
      </w:r>
      <w:proofErr w:type="spellStart"/>
      <w:r w:rsidRPr="00C47E52">
        <w:rPr>
          <w:sz w:val="22"/>
          <w:szCs w:val="22"/>
          <w:lang w:val="en-US"/>
        </w:rPr>
        <w:t>Alkaiou</w:t>
      </w:r>
      <w:proofErr w:type="spellEnd"/>
      <w:r w:rsidRPr="00C47E52">
        <w:rPr>
          <w:sz w:val="22"/>
          <w:szCs w:val="22"/>
        </w:rPr>
        <w:t xml:space="preserve"> </w:t>
      </w:r>
      <w:r w:rsidRPr="00C47E52">
        <w:rPr>
          <w:sz w:val="22"/>
          <w:szCs w:val="22"/>
          <w:lang w:val="en-US"/>
        </w:rPr>
        <w:t>street</w:t>
      </w:r>
      <w:r w:rsidRPr="00C47E52">
        <w:rPr>
          <w:sz w:val="22"/>
          <w:szCs w:val="22"/>
        </w:rPr>
        <w:t>, “</w:t>
      </w:r>
      <w:r w:rsidRPr="00C47E52">
        <w:rPr>
          <w:sz w:val="22"/>
          <w:szCs w:val="22"/>
          <w:lang w:val="en-US"/>
        </w:rPr>
        <w:t>PELEKANOS</w:t>
      </w:r>
      <w:r w:rsidRPr="00C47E52">
        <w:rPr>
          <w:sz w:val="22"/>
          <w:szCs w:val="22"/>
        </w:rPr>
        <w:t xml:space="preserve"> </w:t>
      </w:r>
      <w:r w:rsidRPr="00C47E52">
        <w:rPr>
          <w:sz w:val="22"/>
          <w:szCs w:val="22"/>
          <w:lang w:val="en-US"/>
        </w:rPr>
        <w:t>BUILDING</w:t>
      </w:r>
      <w:r w:rsidRPr="00C47E52">
        <w:rPr>
          <w:sz w:val="22"/>
          <w:szCs w:val="22"/>
        </w:rPr>
        <w:t xml:space="preserve"> 16”, 2</w:t>
      </w:r>
      <w:proofErr w:type="spellStart"/>
      <w:r w:rsidRPr="00C47E52">
        <w:rPr>
          <w:sz w:val="22"/>
          <w:szCs w:val="22"/>
          <w:lang w:val="en-US"/>
        </w:rPr>
        <w:t>nd</w:t>
      </w:r>
      <w:proofErr w:type="spellEnd"/>
      <w:r w:rsidRPr="00C47E52">
        <w:rPr>
          <w:sz w:val="22"/>
          <w:szCs w:val="22"/>
        </w:rPr>
        <w:t xml:space="preserve"> </w:t>
      </w:r>
      <w:r w:rsidRPr="00C47E52">
        <w:rPr>
          <w:sz w:val="22"/>
          <w:szCs w:val="22"/>
          <w:lang w:val="en-US"/>
        </w:rPr>
        <w:t>floor</w:t>
      </w:r>
      <w:r w:rsidRPr="00C47E52">
        <w:rPr>
          <w:sz w:val="22"/>
          <w:szCs w:val="22"/>
        </w:rPr>
        <w:t xml:space="preserve">, </w:t>
      </w:r>
      <w:r w:rsidRPr="00C47E52">
        <w:rPr>
          <w:sz w:val="22"/>
          <w:szCs w:val="22"/>
          <w:lang w:val="en-US"/>
        </w:rPr>
        <w:t>Flat</w:t>
      </w:r>
      <w:r w:rsidRPr="00C47E52">
        <w:rPr>
          <w:sz w:val="22"/>
          <w:szCs w:val="22"/>
        </w:rPr>
        <w:t>/</w:t>
      </w:r>
      <w:r w:rsidRPr="00C47E52">
        <w:rPr>
          <w:sz w:val="22"/>
          <w:szCs w:val="22"/>
          <w:lang w:val="en-US"/>
        </w:rPr>
        <w:t>Office</w:t>
      </w:r>
      <w:r w:rsidRPr="00C47E52">
        <w:rPr>
          <w:sz w:val="22"/>
          <w:szCs w:val="22"/>
        </w:rPr>
        <w:t xml:space="preserve"> 201, </w:t>
      </w:r>
      <w:r w:rsidRPr="00C47E52">
        <w:rPr>
          <w:sz w:val="22"/>
          <w:szCs w:val="22"/>
          <w:lang w:val="en-US"/>
        </w:rPr>
        <w:t>P</w:t>
      </w:r>
      <w:r w:rsidRPr="00C47E52">
        <w:rPr>
          <w:sz w:val="22"/>
          <w:szCs w:val="22"/>
        </w:rPr>
        <w:t>.</w:t>
      </w:r>
      <w:r w:rsidRPr="00C47E52">
        <w:rPr>
          <w:sz w:val="22"/>
          <w:szCs w:val="22"/>
          <w:lang w:val="en-US"/>
        </w:rPr>
        <w:t>C</w:t>
      </w:r>
      <w:r w:rsidRPr="00C47E52">
        <w:rPr>
          <w:sz w:val="22"/>
          <w:szCs w:val="22"/>
        </w:rPr>
        <w:t xml:space="preserve">. 2404, </w:t>
      </w:r>
      <w:proofErr w:type="spellStart"/>
      <w:r w:rsidRPr="00C47E52">
        <w:rPr>
          <w:sz w:val="22"/>
          <w:szCs w:val="22"/>
          <w:lang w:val="en-US"/>
        </w:rPr>
        <w:t>Engomi</w:t>
      </w:r>
      <w:proofErr w:type="spellEnd"/>
      <w:r w:rsidRPr="00C47E52">
        <w:rPr>
          <w:sz w:val="22"/>
          <w:szCs w:val="22"/>
        </w:rPr>
        <w:t xml:space="preserve">, </w:t>
      </w:r>
      <w:r w:rsidRPr="00C47E52">
        <w:rPr>
          <w:sz w:val="22"/>
          <w:szCs w:val="22"/>
          <w:lang w:val="en-US"/>
        </w:rPr>
        <w:t>Nicosia</w:t>
      </w:r>
      <w:r w:rsidRPr="00C47E52">
        <w:rPr>
          <w:sz w:val="22"/>
          <w:szCs w:val="22"/>
        </w:rPr>
        <w:t xml:space="preserve">, </w:t>
      </w:r>
      <w:r w:rsidRPr="00C47E52">
        <w:rPr>
          <w:sz w:val="22"/>
          <w:szCs w:val="22"/>
          <w:lang w:val="en-US"/>
        </w:rPr>
        <w:t>Cyprus</w:t>
      </w:r>
      <w:r w:rsidRPr="00C47E52">
        <w:rPr>
          <w:sz w:val="22"/>
          <w:szCs w:val="22"/>
        </w:rPr>
        <w:t xml:space="preserve">, идентификатор НЕ 266578 (является косвенно контролирующим лицом </w:t>
      </w:r>
      <w:r w:rsidRPr="00C47E52">
        <w:rPr>
          <w:iCs/>
          <w:sz w:val="22"/>
          <w:szCs w:val="22"/>
        </w:rPr>
        <w:t>АО «ГИДРОМАШСЕРВИС»</w:t>
      </w:r>
      <w:r w:rsidRPr="00C47E52">
        <w:rPr>
          <w:sz w:val="22"/>
          <w:szCs w:val="22"/>
        </w:rPr>
        <w:t xml:space="preserve"> - выгодоприобретателя по сделке);</w:t>
      </w:r>
    </w:p>
    <w:p w:rsidR="00C27A38" w:rsidRPr="00C47E52" w:rsidRDefault="00C27A38" w:rsidP="00C27A38">
      <w:pPr>
        <w:jc w:val="both"/>
        <w:rPr>
          <w:sz w:val="22"/>
          <w:szCs w:val="22"/>
        </w:rPr>
      </w:pPr>
      <w:r w:rsidRPr="00C47E52">
        <w:rPr>
          <w:sz w:val="22"/>
          <w:szCs w:val="22"/>
        </w:rPr>
        <w:t xml:space="preserve">3. член совета директоров Общества </w:t>
      </w:r>
      <w:proofErr w:type="spellStart"/>
      <w:r w:rsidRPr="00C47E52">
        <w:rPr>
          <w:sz w:val="22"/>
          <w:szCs w:val="22"/>
        </w:rPr>
        <w:t>Скрынник</w:t>
      </w:r>
      <w:proofErr w:type="spellEnd"/>
      <w:r w:rsidRPr="00C47E52">
        <w:rPr>
          <w:sz w:val="22"/>
          <w:szCs w:val="22"/>
        </w:rPr>
        <w:t xml:space="preserve"> Юрий Николаевич (является членом совета директоров </w:t>
      </w:r>
      <w:r w:rsidRPr="00C47E52">
        <w:rPr>
          <w:iCs/>
          <w:sz w:val="22"/>
          <w:szCs w:val="22"/>
        </w:rPr>
        <w:t xml:space="preserve">АО «ГИДРОМАШСЕРВИС» </w:t>
      </w:r>
      <w:r w:rsidRPr="00C47E52">
        <w:rPr>
          <w:sz w:val="22"/>
          <w:szCs w:val="22"/>
        </w:rPr>
        <w:t>- выгодоприобретателя по сделке);</w:t>
      </w:r>
    </w:p>
    <w:p w:rsidR="00C27A38" w:rsidRPr="00C47E52" w:rsidRDefault="00C27A38" w:rsidP="00C27A38">
      <w:pPr>
        <w:jc w:val="both"/>
        <w:rPr>
          <w:sz w:val="22"/>
          <w:szCs w:val="22"/>
        </w:rPr>
      </w:pPr>
      <w:r w:rsidRPr="00C47E52">
        <w:rPr>
          <w:sz w:val="22"/>
          <w:szCs w:val="22"/>
        </w:rPr>
        <w:t xml:space="preserve">4. управляющая организация Общества - ООО «УК «Группа ГМС», ИНН 7719537823, ОГРН 1047796981132, является также управляющей организацией </w:t>
      </w:r>
      <w:r w:rsidRPr="00C47E52">
        <w:rPr>
          <w:iCs/>
          <w:sz w:val="22"/>
          <w:szCs w:val="22"/>
        </w:rPr>
        <w:t xml:space="preserve">АО «ГИДРОМАШСЕРВИС» </w:t>
      </w:r>
      <w:r>
        <w:rPr>
          <w:sz w:val="22"/>
          <w:szCs w:val="22"/>
        </w:rPr>
        <w:t>- выгодоприобретателя по сделке.</w:t>
      </w:r>
    </w:p>
    <w:p w:rsidR="00DB4ED3" w:rsidRPr="0076292A" w:rsidRDefault="00DB4ED3" w:rsidP="00DB4ED3">
      <w:pPr>
        <w:autoSpaceDE w:val="0"/>
        <w:autoSpaceDN w:val="0"/>
        <w:adjustRightInd w:val="0"/>
        <w:jc w:val="both"/>
        <w:rPr>
          <w:sz w:val="22"/>
          <w:szCs w:val="22"/>
        </w:rPr>
      </w:pPr>
    </w:p>
    <w:p w:rsidR="00055939" w:rsidRPr="005137B5" w:rsidRDefault="003B5F0A" w:rsidP="00055939">
      <w:pPr>
        <w:overflowPunct w:val="0"/>
        <w:autoSpaceDE w:val="0"/>
        <w:autoSpaceDN w:val="0"/>
        <w:adjustRightInd w:val="0"/>
        <w:spacing w:before="120"/>
        <w:jc w:val="both"/>
        <w:rPr>
          <w:b/>
          <w:sz w:val="22"/>
          <w:szCs w:val="22"/>
        </w:rPr>
      </w:pPr>
      <w:r>
        <w:rPr>
          <w:b/>
          <w:sz w:val="22"/>
          <w:szCs w:val="22"/>
        </w:rPr>
        <w:t>Д</w:t>
      </w:r>
      <w:r w:rsidR="0001083D">
        <w:rPr>
          <w:b/>
          <w:sz w:val="22"/>
          <w:szCs w:val="22"/>
        </w:rPr>
        <w:t>ата составления отчета: «03» декабря</w:t>
      </w:r>
      <w:r w:rsidR="00375A39" w:rsidRPr="005137B5">
        <w:rPr>
          <w:b/>
          <w:sz w:val="22"/>
          <w:szCs w:val="22"/>
        </w:rPr>
        <w:t xml:space="preserve"> 2018</w:t>
      </w:r>
      <w:r w:rsidR="00055939" w:rsidRPr="005137B5">
        <w:rPr>
          <w:b/>
          <w:sz w:val="22"/>
          <w:szCs w:val="22"/>
        </w:rPr>
        <w:t xml:space="preserve"> года.</w:t>
      </w:r>
    </w:p>
    <w:p w:rsidR="00055939" w:rsidRPr="005137B5" w:rsidRDefault="00055939" w:rsidP="00055939">
      <w:pPr>
        <w:jc w:val="right"/>
        <w:rPr>
          <w:b/>
          <w:sz w:val="22"/>
          <w:szCs w:val="22"/>
        </w:rPr>
      </w:pPr>
    </w:p>
    <w:p w:rsidR="00055939" w:rsidRPr="005137B5" w:rsidRDefault="00055939" w:rsidP="00055939">
      <w:pPr>
        <w:rPr>
          <w:b/>
          <w:sz w:val="22"/>
          <w:szCs w:val="22"/>
        </w:rPr>
      </w:pPr>
      <w:r w:rsidRPr="005137B5">
        <w:rPr>
          <w:b/>
          <w:sz w:val="22"/>
          <w:szCs w:val="22"/>
        </w:rPr>
        <w:t>Председатель Собрания</w:t>
      </w:r>
      <w:r w:rsidRPr="005137B5">
        <w:rPr>
          <w:b/>
          <w:sz w:val="22"/>
          <w:szCs w:val="22"/>
        </w:rPr>
        <w:tab/>
      </w:r>
      <w:r w:rsidRPr="005137B5">
        <w:rPr>
          <w:b/>
          <w:sz w:val="22"/>
          <w:szCs w:val="22"/>
        </w:rPr>
        <w:tab/>
      </w:r>
      <w:r w:rsidRPr="005137B5">
        <w:rPr>
          <w:b/>
          <w:sz w:val="22"/>
          <w:szCs w:val="22"/>
        </w:rPr>
        <w:tab/>
      </w:r>
      <w:r w:rsidR="007A0F3A">
        <w:rPr>
          <w:b/>
          <w:sz w:val="22"/>
          <w:szCs w:val="22"/>
        </w:rPr>
        <w:t>(подпись)</w:t>
      </w:r>
      <w:r w:rsidRPr="005137B5">
        <w:rPr>
          <w:b/>
          <w:sz w:val="22"/>
          <w:szCs w:val="22"/>
        </w:rPr>
        <w:tab/>
      </w:r>
      <w:r w:rsidRPr="005137B5">
        <w:rPr>
          <w:b/>
          <w:sz w:val="22"/>
          <w:szCs w:val="22"/>
        </w:rPr>
        <w:tab/>
      </w:r>
      <w:r w:rsidRPr="005137B5">
        <w:rPr>
          <w:b/>
          <w:sz w:val="22"/>
          <w:szCs w:val="22"/>
        </w:rPr>
        <w:tab/>
        <w:t>А.Е. Новиков</w:t>
      </w:r>
    </w:p>
    <w:p w:rsidR="00055939" w:rsidRPr="005137B5" w:rsidRDefault="00055939" w:rsidP="00055939">
      <w:pPr>
        <w:rPr>
          <w:b/>
          <w:sz w:val="22"/>
          <w:szCs w:val="22"/>
        </w:rPr>
      </w:pPr>
    </w:p>
    <w:p w:rsidR="004D45D3" w:rsidRDefault="004D45D3" w:rsidP="00055939">
      <w:pPr>
        <w:rPr>
          <w:b/>
          <w:sz w:val="22"/>
          <w:szCs w:val="22"/>
        </w:rPr>
      </w:pPr>
    </w:p>
    <w:p w:rsidR="00055939" w:rsidRPr="005137B5" w:rsidRDefault="00055939" w:rsidP="00055939">
      <w:pPr>
        <w:rPr>
          <w:b/>
          <w:sz w:val="22"/>
          <w:szCs w:val="22"/>
        </w:rPr>
      </w:pPr>
      <w:r w:rsidRPr="005137B5">
        <w:rPr>
          <w:b/>
          <w:sz w:val="22"/>
          <w:szCs w:val="22"/>
        </w:rPr>
        <w:t>Секретарь Собрания</w:t>
      </w:r>
      <w:r w:rsidRPr="005137B5">
        <w:rPr>
          <w:b/>
          <w:sz w:val="22"/>
          <w:szCs w:val="22"/>
        </w:rPr>
        <w:tab/>
      </w:r>
      <w:r w:rsidRPr="005137B5">
        <w:rPr>
          <w:b/>
          <w:sz w:val="22"/>
          <w:szCs w:val="22"/>
        </w:rPr>
        <w:tab/>
      </w:r>
      <w:r w:rsidRPr="005137B5">
        <w:rPr>
          <w:b/>
          <w:sz w:val="22"/>
          <w:szCs w:val="22"/>
        </w:rPr>
        <w:tab/>
      </w:r>
      <w:r w:rsidRPr="005137B5">
        <w:rPr>
          <w:b/>
          <w:sz w:val="22"/>
          <w:szCs w:val="22"/>
        </w:rPr>
        <w:tab/>
      </w:r>
      <w:r w:rsidR="007A0F3A">
        <w:rPr>
          <w:b/>
          <w:sz w:val="22"/>
          <w:szCs w:val="22"/>
        </w:rPr>
        <w:t>(подпись)</w:t>
      </w:r>
      <w:r w:rsidRPr="005137B5">
        <w:rPr>
          <w:b/>
          <w:sz w:val="22"/>
          <w:szCs w:val="22"/>
        </w:rPr>
        <w:tab/>
      </w:r>
      <w:r w:rsidRPr="005137B5">
        <w:rPr>
          <w:b/>
          <w:sz w:val="22"/>
          <w:szCs w:val="22"/>
        </w:rPr>
        <w:tab/>
      </w:r>
      <w:r w:rsidR="005137B5">
        <w:rPr>
          <w:b/>
          <w:sz w:val="22"/>
          <w:szCs w:val="22"/>
        </w:rPr>
        <w:t xml:space="preserve">             </w:t>
      </w:r>
      <w:r w:rsidRPr="005137B5">
        <w:rPr>
          <w:b/>
          <w:sz w:val="22"/>
          <w:szCs w:val="22"/>
        </w:rPr>
        <w:t>Ю.А. Воронина</w:t>
      </w:r>
    </w:p>
    <w:p w:rsidR="00055939" w:rsidRPr="005137B5" w:rsidRDefault="00055939" w:rsidP="00055939">
      <w:pPr>
        <w:jc w:val="both"/>
        <w:rPr>
          <w:b/>
          <w:sz w:val="22"/>
          <w:szCs w:val="22"/>
        </w:rPr>
      </w:pPr>
    </w:p>
    <w:p w:rsidR="006D5BC8" w:rsidRDefault="00055939">
      <w:pPr>
        <w:rPr>
          <w:sz w:val="22"/>
          <w:szCs w:val="22"/>
        </w:rPr>
      </w:pPr>
      <w:r w:rsidRPr="005137B5">
        <w:rPr>
          <w:b/>
          <w:sz w:val="22"/>
          <w:szCs w:val="22"/>
        </w:rPr>
        <w:t xml:space="preserve">      </w:t>
      </w:r>
      <w:r w:rsidR="00772678" w:rsidRPr="005137B5">
        <w:rPr>
          <w:b/>
          <w:sz w:val="22"/>
          <w:szCs w:val="22"/>
        </w:rPr>
        <w:t xml:space="preserve">                                                            </w:t>
      </w:r>
      <w:r w:rsidRPr="005137B5">
        <w:rPr>
          <w:b/>
          <w:sz w:val="22"/>
          <w:szCs w:val="22"/>
        </w:rPr>
        <w:t xml:space="preserve">  </w:t>
      </w:r>
      <w:r w:rsidRPr="005137B5">
        <w:rPr>
          <w:sz w:val="22"/>
          <w:szCs w:val="22"/>
        </w:rPr>
        <w:t xml:space="preserve">М.П. </w:t>
      </w:r>
    </w:p>
    <w:p w:rsidR="00C27A38" w:rsidRDefault="00C27A38">
      <w:pPr>
        <w:rPr>
          <w:sz w:val="22"/>
          <w:szCs w:val="22"/>
        </w:rPr>
      </w:pPr>
    </w:p>
    <w:p w:rsidR="00C27A38" w:rsidRDefault="00C27A38">
      <w:pPr>
        <w:rPr>
          <w:sz w:val="22"/>
          <w:szCs w:val="22"/>
        </w:rPr>
      </w:pPr>
    </w:p>
    <w:p w:rsidR="00C27A38" w:rsidRDefault="00C27A38">
      <w:pPr>
        <w:rPr>
          <w:sz w:val="22"/>
          <w:szCs w:val="22"/>
        </w:rPr>
      </w:pPr>
      <w:bookmarkStart w:id="0" w:name="_GoBack"/>
      <w:bookmarkEnd w:id="0"/>
    </w:p>
    <w:sectPr w:rsidR="00C27A38" w:rsidSect="000E69A5">
      <w:footerReference w:type="default" r:id="rId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1F" w:rsidRDefault="00E9251F" w:rsidP="00055939">
      <w:r>
        <w:separator/>
      </w:r>
    </w:p>
  </w:endnote>
  <w:endnote w:type="continuationSeparator" w:id="0">
    <w:p w:rsidR="00E9251F" w:rsidRDefault="00E9251F"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752518">
          <w:rPr>
            <w:noProof/>
          </w:rPr>
          <w:t>3</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1F" w:rsidRDefault="00E9251F" w:rsidP="00055939">
      <w:r>
        <w:separator/>
      </w:r>
    </w:p>
  </w:footnote>
  <w:footnote w:type="continuationSeparator" w:id="0">
    <w:p w:rsidR="00E9251F" w:rsidRDefault="00E9251F"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33365824"/>
    <w:multiLevelType w:val="hybridMultilevel"/>
    <w:tmpl w:val="48E029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19F0"/>
    <w:rsid w:val="0001083D"/>
    <w:rsid w:val="00020DBE"/>
    <w:rsid w:val="00047538"/>
    <w:rsid w:val="00055939"/>
    <w:rsid w:val="000613CF"/>
    <w:rsid w:val="00080F74"/>
    <w:rsid w:val="000A01D8"/>
    <w:rsid w:val="000A7F39"/>
    <w:rsid w:val="000C0BD8"/>
    <w:rsid w:val="000E69A5"/>
    <w:rsid w:val="000F3CED"/>
    <w:rsid w:val="00171E01"/>
    <w:rsid w:val="001733E9"/>
    <w:rsid w:val="00177E83"/>
    <w:rsid w:val="001812D3"/>
    <w:rsid w:val="00183711"/>
    <w:rsid w:val="001B1A4B"/>
    <w:rsid w:val="001B2BAE"/>
    <w:rsid w:val="001E3A64"/>
    <w:rsid w:val="001E45E3"/>
    <w:rsid w:val="001E5582"/>
    <w:rsid w:val="001F0B97"/>
    <w:rsid w:val="00217243"/>
    <w:rsid w:val="002264ED"/>
    <w:rsid w:val="002302EB"/>
    <w:rsid w:val="00245EE9"/>
    <w:rsid w:val="00261F77"/>
    <w:rsid w:val="00276B08"/>
    <w:rsid w:val="002955E6"/>
    <w:rsid w:val="002961A7"/>
    <w:rsid w:val="002969D0"/>
    <w:rsid w:val="002B2C83"/>
    <w:rsid w:val="002E77C8"/>
    <w:rsid w:val="002F30BA"/>
    <w:rsid w:val="00310CE2"/>
    <w:rsid w:val="00332EA8"/>
    <w:rsid w:val="0036029C"/>
    <w:rsid w:val="00365279"/>
    <w:rsid w:val="00375A39"/>
    <w:rsid w:val="00375D30"/>
    <w:rsid w:val="003A093B"/>
    <w:rsid w:val="003A41CF"/>
    <w:rsid w:val="003B29E2"/>
    <w:rsid w:val="003B5F0A"/>
    <w:rsid w:val="003C48F2"/>
    <w:rsid w:val="003D40F6"/>
    <w:rsid w:val="003D738D"/>
    <w:rsid w:val="003D7EB0"/>
    <w:rsid w:val="003E2ACD"/>
    <w:rsid w:val="003E2DA6"/>
    <w:rsid w:val="003E7C62"/>
    <w:rsid w:val="003F6962"/>
    <w:rsid w:val="004017EE"/>
    <w:rsid w:val="004146C5"/>
    <w:rsid w:val="0042279D"/>
    <w:rsid w:val="004247E9"/>
    <w:rsid w:val="004361D7"/>
    <w:rsid w:val="0045602B"/>
    <w:rsid w:val="0046229F"/>
    <w:rsid w:val="00475377"/>
    <w:rsid w:val="004A275C"/>
    <w:rsid w:val="004B18F5"/>
    <w:rsid w:val="004B6285"/>
    <w:rsid w:val="004D2C25"/>
    <w:rsid w:val="004D3518"/>
    <w:rsid w:val="004D45D3"/>
    <w:rsid w:val="004D5627"/>
    <w:rsid w:val="004D5CB1"/>
    <w:rsid w:val="005137B5"/>
    <w:rsid w:val="0055011C"/>
    <w:rsid w:val="00551B39"/>
    <w:rsid w:val="00562602"/>
    <w:rsid w:val="00562C5E"/>
    <w:rsid w:val="00582FEE"/>
    <w:rsid w:val="0058745D"/>
    <w:rsid w:val="005A0835"/>
    <w:rsid w:val="005B1CC3"/>
    <w:rsid w:val="005D3318"/>
    <w:rsid w:val="005D4956"/>
    <w:rsid w:val="005E5457"/>
    <w:rsid w:val="005F6993"/>
    <w:rsid w:val="00600667"/>
    <w:rsid w:val="00610F75"/>
    <w:rsid w:val="0062064D"/>
    <w:rsid w:val="006324CD"/>
    <w:rsid w:val="006343A9"/>
    <w:rsid w:val="006872B9"/>
    <w:rsid w:val="00693176"/>
    <w:rsid w:val="006D48A0"/>
    <w:rsid w:val="006D5BC8"/>
    <w:rsid w:val="006F2E90"/>
    <w:rsid w:val="007116E6"/>
    <w:rsid w:val="00733922"/>
    <w:rsid w:val="00742591"/>
    <w:rsid w:val="00752518"/>
    <w:rsid w:val="00772678"/>
    <w:rsid w:val="00792B11"/>
    <w:rsid w:val="007A0F3A"/>
    <w:rsid w:val="007A180F"/>
    <w:rsid w:val="007C03D0"/>
    <w:rsid w:val="007C1FAF"/>
    <w:rsid w:val="007D7DFD"/>
    <w:rsid w:val="007E067B"/>
    <w:rsid w:val="007E17C6"/>
    <w:rsid w:val="00806CB4"/>
    <w:rsid w:val="00814F0B"/>
    <w:rsid w:val="00815B37"/>
    <w:rsid w:val="00830BEA"/>
    <w:rsid w:val="00866EBB"/>
    <w:rsid w:val="00871516"/>
    <w:rsid w:val="00877659"/>
    <w:rsid w:val="00884EAF"/>
    <w:rsid w:val="008A0259"/>
    <w:rsid w:val="008B421A"/>
    <w:rsid w:val="008C666F"/>
    <w:rsid w:val="008F11A2"/>
    <w:rsid w:val="008F1755"/>
    <w:rsid w:val="008F55AF"/>
    <w:rsid w:val="009129CB"/>
    <w:rsid w:val="00914E6A"/>
    <w:rsid w:val="009212C0"/>
    <w:rsid w:val="00924ED3"/>
    <w:rsid w:val="00935066"/>
    <w:rsid w:val="00941CE0"/>
    <w:rsid w:val="00952A92"/>
    <w:rsid w:val="00970D80"/>
    <w:rsid w:val="009919D2"/>
    <w:rsid w:val="009A6AF6"/>
    <w:rsid w:val="009F6D44"/>
    <w:rsid w:val="00A0608E"/>
    <w:rsid w:val="00A06E96"/>
    <w:rsid w:val="00A142E2"/>
    <w:rsid w:val="00A305C0"/>
    <w:rsid w:val="00A41B09"/>
    <w:rsid w:val="00A43D2D"/>
    <w:rsid w:val="00A459EE"/>
    <w:rsid w:val="00A46818"/>
    <w:rsid w:val="00A65AE4"/>
    <w:rsid w:val="00A93A4B"/>
    <w:rsid w:val="00AA000C"/>
    <w:rsid w:val="00AE7C5C"/>
    <w:rsid w:val="00AF0757"/>
    <w:rsid w:val="00AF2FE5"/>
    <w:rsid w:val="00B0582C"/>
    <w:rsid w:val="00B109E6"/>
    <w:rsid w:val="00B84D5F"/>
    <w:rsid w:val="00B93253"/>
    <w:rsid w:val="00C259A4"/>
    <w:rsid w:val="00C27A38"/>
    <w:rsid w:val="00C60E8E"/>
    <w:rsid w:val="00CA0583"/>
    <w:rsid w:val="00CA5ABE"/>
    <w:rsid w:val="00CB302F"/>
    <w:rsid w:val="00CC422A"/>
    <w:rsid w:val="00CC5281"/>
    <w:rsid w:val="00CD4043"/>
    <w:rsid w:val="00D153B2"/>
    <w:rsid w:val="00D219D1"/>
    <w:rsid w:val="00D377A6"/>
    <w:rsid w:val="00D52460"/>
    <w:rsid w:val="00D758CB"/>
    <w:rsid w:val="00D82897"/>
    <w:rsid w:val="00D87119"/>
    <w:rsid w:val="00DB0490"/>
    <w:rsid w:val="00DB4ED3"/>
    <w:rsid w:val="00DE403E"/>
    <w:rsid w:val="00DE5DEA"/>
    <w:rsid w:val="00E01DC3"/>
    <w:rsid w:val="00E40748"/>
    <w:rsid w:val="00E9251F"/>
    <w:rsid w:val="00E93FA2"/>
    <w:rsid w:val="00EA3956"/>
    <w:rsid w:val="00EA4696"/>
    <w:rsid w:val="00EB51E2"/>
    <w:rsid w:val="00EC653A"/>
    <w:rsid w:val="00F3413E"/>
    <w:rsid w:val="00F709F8"/>
    <w:rsid w:val="00FA3C30"/>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
    <w:basedOn w:val="a0"/>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0019F0"/>
    <w:pPr>
      <w:spacing w:after="120"/>
      <w:ind w:left="283"/>
    </w:pPr>
  </w:style>
  <w:style w:type="character" w:customStyle="1" w:styleId="af2">
    <w:name w:val="Основной текст с отступом Знак"/>
    <w:basedOn w:val="a1"/>
    <w:link w:val="af1"/>
    <w:uiPriority w:val="99"/>
    <w:semiHidden/>
    <w:rsid w:val="000019F0"/>
    <w:rPr>
      <w:rFonts w:ascii="Times New Roman" w:eastAsia="Times New Roman" w:hAnsi="Times New Roman" w:cs="Times New Roman"/>
      <w:sz w:val="24"/>
      <w:szCs w:val="24"/>
      <w:lang w:eastAsia="ru-RU"/>
    </w:rPr>
  </w:style>
  <w:style w:type="character" w:customStyle="1" w:styleId="af">
    <w:name w:val="Абзац списка Знак"/>
    <w:aliases w:val="Нумерованый список Знак"/>
    <w:link w:val="ae"/>
    <w:uiPriority w:val="34"/>
    <w:locked/>
    <w:rsid w:val="000019F0"/>
    <w:rPr>
      <w:rFonts w:ascii="Times New Roman" w:eastAsia="Times New Roman" w:hAnsi="Times New Roman" w:cs="Times New Roman"/>
      <w:sz w:val="24"/>
      <w:szCs w:val="24"/>
      <w:lang w:eastAsia="ru-RU"/>
    </w:rPr>
  </w:style>
  <w:style w:type="character" w:customStyle="1" w:styleId="fontstyle01">
    <w:name w:val="fontstyle01"/>
    <w:rsid w:val="00C27A38"/>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0F3CE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99</cp:revision>
  <cp:lastPrinted>2018-12-03T08:10:00Z</cp:lastPrinted>
  <dcterms:created xsi:type="dcterms:W3CDTF">2018-06-15T04:20:00Z</dcterms:created>
  <dcterms:modified xsi:type="dcterms:W3CDTF">2018-12-04T04:07:00Z</dcterms:modified>
</cp:coreProperties>
</file>