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782F27" w:rsidRDefault="00055939" w:rsidP="00055939">
      <w:pPr>
        <w:overflowPunct w:val="0"/>
        <w:autoSpaceDE w:val="0"/>
        <w:autoSpaceDN w:val="0"/>
        <w:adjustRightInd w:val="0"/>
        <w:jc w:val="center"/>
        <w:rPr>
          <w:b/>
        </w:rPr>
      </w:pPr>
      <w:r w:rsidRPr="00782F27">
        <w:rPr>
          <w:b/>
        </w:rPr>
        <w:t>ОТЧЕТ ОБ ИТОГАХ ГОЛОСОВАНИЯ</w:t>
      </w:r>
    </w:p>
    <w:p w:rsidR="00055939" w:rsidRPr="00782F27" w:rsidRDefault="00846B3D" w:rsidP="00055939">
      <w:pPr>
        <w:overflowPunct w:val="0"/>
        <w:autoSpaceDE w:val="0"/>
        <w:autoSpaceDN w:val="0"/>
        <w:adjustRightInd w:val="0"/>
        <w:jc w:val="center"/>
        <w:rPr>
          <w:b/>
        </w:rPr>
      </w:pPr>
      <w:r w:rsidRPr="00782F27">
        <w:rPr>
          <w:b/>
        </w:rPr>
        <w:t xml:space="preserve">НА ВНЕОЧЕРЕДНОМ </w:t>
      </w:r>
      <w:r w:rsidR="00055939" w:rsidRPr="00782F27">
        <w:rPr>
          <w:b/>
        </w:rPr>
        <w:t xml:space="preserve">ОБЩЕМ СОБРАНИИ АКЦИОНЕРОВ  </w:t>
      </w:r>
    </w:p>
    <w:p w:rsidR="00055939" w:rsidRPr="00782F27" w:rsidRDefault="00055939" w:rsidP="00055939">
      <w:pPr>
        <w:pStyle w:val="a4"/>
        <w:rPr>
          <w:b/>
          <w:szCs w:val="24"/>
        </w:rPr>
      </w:pPr>
      <w:r w:rsidRPr="00782F27">
        <w:rPr>
          <w:b/>
          <w:szCs w:val="24"/>
        </w:rPr>
        <w:t>АКЦИОНЕРНОГО ОБЩЕСТВА «СИБНЕФТЕМАШ»</w:t>
      </w:r>
    </w:p>
    <w:p w:rsidR="00055939" w:rsidRPr="00782F27" w:rsidRDefault="00055939" w:rsidP="00055939">
      <w:pPr>
        <w:pStyle w:val="a4"/>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 xml:space="preserve">Акционерное общество «Сибнефтемаш» </w:t>
            </w:r>
          </w:p>
          <w:p w:rsidR="00055939" w:rsidRPr="00782F27" w:rsidRDefault="00055939">
            <w:pPr>
              <w:jc w:val="both"/>
            </w:pPr>
            <w:r w:rsidRPr="00782F27">
              <w:t xml:space="preserve">(далее АО «Сибнефтемаш» или «Общество») </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 xml:space="preserve">Место нахождения </w:t>
            </w:r>
          </w:p>
          <w:p w:rsidR="00055939" w:rsidRPr="00782F27" w:rsidRDefault="00055939">
            <w:r w:rsidRPr="00782F27">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625511, РФ, Тюменская область, Тюменский район, 15 километр Тобольского тракта</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846B3D">
            <w:pPr>
              <w:jc w:val="both"/>
            </w:pPr>
            <w:r w:rsidRPr="00782F27">
              <w:t>внеочередное</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055939">
            <w:pPr>
              <w:jc w:val="both"/>
            </w:pPr>
            <w:r w:rsidRPr="00782F27">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846B3D">
            <w:pPr>
              <w:jc w:val="both"/>
              <w:rPr>
                <w:b/>
              </w:rPr>
            </w:pPr>
            <w:r w:rsidRPr="00782F27">
              <w:rPr>
                <w:b/>
              </w:rPr>
              <w:t>«04» июл</w:t>
            </w:r>
            <w:r w:rsidR="00177E83" w:rsidRPr="00782F27">
              <w:rPr>
                <w:b/>
              </w:rPr>
              <w:t>я</w:t>
            </w:r>
            <w:r w:rsidR="00261F77" w:rsidRPr="00782F27">
              <w:rPr>
                <w:b/>
              </w:rPr>
              <w:t xml:space="preserve"> </w:t>
            </w:r>
            <w:r w:rsidR="009F4ADE" w:rsidRPr="00782F27">
              <w:rPr>
                <w:b/>
              </w:rPr>
              <w:t>201</w:t>
            </w:r>
            <w:r w:rsidR="00C4254A" w:rsidRPr="00782F27">
              <w:rPr>
                <w:b/>
              </w:rPr>
              <w:t>9</w:t>
            </w:r>
            <w:r w:rsidR="00055939" w:rsidRPr="00782F27">
              <w:rPr>
                <w:b/>
              </w:rPr>
              <w:t xml:space="preserve"> года</w:t>
            </w:r>
          </w:p>
        </w:tc>
      </w:tr>
      <w:tr w:rsidR="00055939" w:rsidRPr="00782F27"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C4254A">
            <w:pPr>
              <w:jc w:val="both"/>
            </w:pPr>
            <w:r w:rsidRPr="00782F27">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Pr="00782F27" w:rsidRDefault="00055939">
            <w:pPr>
              <w:jc w:val="both"/>
            </w:pPr>
          </w:p>
          <w:p w:rsidR="00055939" w:rsidRPr="00782F27" w:rsidRDefault="00055939">
            <w:pPr>
              <w:jc w:val="both"/>
            </w:pPr>
          </w:p>
          <w:p w:rsidR="00055939" w:rsidRPr="00782F27" w:rsidRDefault="00846B3D">
            <w:pPr>
              <w:jc w:val="both"/>
            </w:pPr>
            <w:r w:rsidRPr="00782F27">
              <w:t>«10</w:t>
            </w:r>
            <w:r w:rsidR="00A76C33" w:rsidRPr="00782F27">
              <w:t>» июня</w:t>
            </w:r>
            <w:r w:rsidR="009F4ADE" w:rsidRPr="00782F27">
              <w:t xml:space="preserve"> 2019</w:t>
            </w:r>
            <w:r w:rsidR="00055939" w:rsidRPr="00782F27">
              <w:t xml:space="preserve"> года</w:t>
            </w:r>
          </w:p>
        </w:tc>
      </w:tr>
      <w:tr w:rsidR="00055939" w:rsidRPr="00782F27" w:rsidTr="00582FEE">
        <w:tc>
          <w:tcPr>
            <w:tcW w:w="3659" w:type="dxa"/>
            <w:tcBorders>
              <w:top w:val="single" w:sz="4" w:space="0" w:color="auto"/>
              <w:left w:val="single" w:sz="4" w:space="0" w:color="auto"/>
              <w:bottom w:val="single" w:sz="4" w:space="0" w:color="auto"/>
              <w:right w:val="single" w:sz="4" w:space="0" w:color="auto"/>
            </w:tcBorders>
            <w:hideMark/>
          </w:tcPr>
          <w:p w:rsidR="00055939" w:rsidRPr="00782F27" w:rsidRDefault="00055939">
            <w:r w:rsidRPr="00782F27">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Pr="00782F27" w:rsidRDefault="00846B3D">
            <w:pPr>
              <w:jc w:val="both"/>
              <w:rPr>
                <w:b/>
              </w:rPr>
            </w:pPr>
            <w:r w:rsidRPr="00782F27">
              <w:rPr>
                <w:b/>
              </w:rPr>
              <w:t>«04» июл</w:t>
            </w:r>
            <w:r w:rsidR="00A43D2D" w:rsidRPr="00782F27">
              <w:rPr>
                <w:b/>
              </w:rPr>
              <w:t>я</w:t>
            </w:r>
            <w:r w:rsidR="00CC0247" w:rsidRPr="00782F27">
              <w:rPr>
                <w:b/>
              </w:rPr>
              <w:t xml:space="preserve"> 2019 </w:t>
            </w:r>
            <w:r w:rsidRPr="00782F27">
              <w:rPr>
                <w:b/>
              </w:rPr>
              <w:t>года, 17</w:t>
            </w:r>
            <w:r w:rsidR="00055939" w:rsidRPr="00782F27">
              <w:rPr>
                <w:b/>
              </w:rPr>
              <w:t xml:space="preserve"> ч. 00 мин. </w:t>
            </w:r>
          </w:p>
        </w:tc>
      </w:tr>
    </w:tbl>
    <w:p w:rsidR="00055939" w:rsidRPr="00782F27" w:rsidRDefault="00055939" w:rsidP="00055939">
      <w:pPr>
        <w:ind w:firstLine="720"/>
        <w:jc w:val="both"/>
      </w:pPr>
    </w:p>
    <w:p w:rsidR="00055939" w:rsidRPr="00782F27" w:rsidRDefault="00055939" w:rsidP="00055939">
      <w:pPr>
        <w:jc w:val="both"/>
        <w:rPr>
          <w:bCs/>
        </w:rPr>
      </w:pPr>
      <w:r w:rsidRPr="00782F27">
        <w:rPr>
          <w:b/>
          <w:bCs/>
        </w:rPr>
        <w:t>Председатель собрания</w:t>
      </w:r>
      <w:r w:rsidRPr="00782F27">
        <w:rPr>
          <w:bCs/>
        </w:rPr>
        <w:t>: Новиков Андрей Евгеньевич.</w:t>
      </w:r>
    </w:p>
    <w:p w:rsidR="00055939" w:rsidRPr="00782F27" w:rsidRDefault="00055939" w:rsidP="00055939">
      <w:pPr>
        <w:jc w:val="both"/>
        <w:rPr>
          <w:bCs/>
        </w:rPr>
      </w:pPr>
      <w:r w:rsidRPr="00782F27">
        <w:rPr>
          <w:b/>
          <w:bCs/>
        </w:rPr>
        <w:t>Секретарь собрания</w:t>
      </w:r>
      <w:r w:rsidR="00CC0247" w:rsidRPr="00782F27">
        <w:rPr>
          <w:bCs/>
        </w:rPr>
        <w:t>: Нугаева Наталья Викторовна</w:t>
      </w:r>
      <w:r w:rsidRPr="00782F27">
        <w:rPr>
          <w:bCs/>
        </w:rPr>
        <w:t>.</w:t>
      </w:r>
    </w:p>
    <w:p w:rsidR="00055939" w:rsidRPr="00782F27" w:rsidRDefault="00055939" w:rsidP="00055939">
      <w:pPr>
        <w:tabs>
          <w:tab w:val="left" w:pos="3261"/>
          <w:tab w:val="left" w:pos="10704"/>
        </w:tabs>
        <w:spacing w:before="120"/>
        <w:jc w:val="both"/>
      </w:pPr>
      <w:r w:rsidRPr="00782F27">
        <w:rPr>
          <w:b/>
        </w:rPr>
        <w:t>Счетная комиссия:</w:t>
      </w:r>
      <w:r w:rsidRPr="00782F27">
        <w:t xml:space="preserve"> Специализированный регистратор Акционерное общество «Новый регистратор» (Тюменский филиал).</w:t>
      </w:r>
    </w:p>
    <w:p w:rsidR="00055939" w:rsidRPr="00782F27" w:rsidRDefault="00055939" w:rsidP="00055939">
      <w:pPr>
        <w:tabs>
          <w:tab w:val="left" w:pos="3261"/>
          <w:tab w:val="left" w:pos="10704"/>
        </w:tabs>
        <w:spacing w:before="120"/>
        <w:jc w:val="both"/>
      </w:pPr>
      <w:r w:rsidRPr="00782F27">
        <w:rPr>
          <w:b/>
        </w:rPr>
        <w:t>Место нахождения регистратора:</w:t>
      </w:r>
      <w:r w:rsidRPr="00782F27">
        <w:rPr>
          <w:color w:val="000000"/>
          <w:shd w:val="clear" w:color="auto" w:fill="FFFFFF"/>
        </w:rPr>
        <w:t xml:space="preserve"> </w:t>
      </w:r>
      <w:r w:rsidRPr="00782F27">
        <w:t xml:space="preserve">107996, РФ, г. Москва, ул. </w:t>
      </w:r>
      <w:proofErr w:type="spellStart"/>
      <w:r w:rsidRPr="00782F27">
        <w:t>Буженинова</w:t>
      </w:r>
      <w:proofErr w:type="spellEnd"/>
      <w:r w:rsidRPr="00782F27">
        <w:t>, д. 30, стр. 1 (место нахождение Тюменского филиала: 625019, РФ, Тюменская область, г. Тюмень, ул. Республики, д. 211 А).</w:t>
      </w:r>
    </w:p>
    <w:p w:rsidR="00055939" w:rsidRPr="00782F27" w:rsidRDefault="00055939" w:rsidP="00055939">
      <w:pPr>
        <w:tabs>
          <w:tab w:val="left" w:pos="3261"/>
          <w:tab w:val="left" w:pos="10704"/>
        </w:tabs>
        <w:spacing w:before="60"/>
        <w:jc w:val="both"/>
      </w:pPr>
      <w:r w:rsidRPr="00782F27">
        <w:rPr>
          <w:b/>
        </w:rPr>
        <w:t>Уполномоченное лицо регистратора:</w:t>
      </w:r>
      <w:r w:rsidRPr="00782F27">
        <w:t xml:space="preserve"> Токмянина</w:t>
      </w:r>
      <w:r w:rsidR="00815B37" w:rsidRPr="00782F27">
        <w:t xml:space="preserve"> Вера Львовна (доверенность </w:t>
      </w:r>
      <w:r w:rsidR="004409AF" w:rsidRPr="00782F27">
        <w:t>№ 195 от 29.12.2018</w:t>
      </w:r>
      <w:r w:rsidRPr="00782F27">
        <w:t xml:space="preserve"> г. сроком действия до </w:t>
      </w:r>
      <w:r w:rsidR="004409AF" w:rsidRPr="00782F27">
        <w:t>31.12.2019</w:t>
      </w:r>
      <w:r w:rsidRPr="00782F27">
        <w:t xml:space="preserve"> г.). </w:t>
      </w:r>
    </w:p>
    <w:p w:rsidR="00055939" w:rsidRPr="00782F27" w:rsidRDefault="00055939" w:rsidP="00055939">
      <w:pPr>
        <w:jc w:val="both"/>
      </w:pPr>
    </w:p>
    <w:p w:rsidR="000E69A5" w:rsidRPr="00782F27" w:rsidRDefault="00055939" w:rsidP="000E69A5">
      <w:pPr>
        <w:jc w:val="both"/>
      </w:pPr>
      <w:r w:rsidRPr="00782F27">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782F27" w:rsidRDefault="00B93253" w:rsidP="00B93253">
      <w:pPr>
        <w:jc w:val="both"/>
      </w:pPr>
      <w:r w:rsidRPr="00782F27">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782F27">
        <w:rPr>
          <w:lang w:val="en-US"/>
        </w:rPr>
        <w:t>F</w:t>
      </w:r>
      <w:r w:rsidRPr="00782F27">
        <w:t>, дата регистрации выпуска: 20.02.2012 г.; акции привилегированные именные бездокументарные, государственный регистрационный номер выпуска: 2-02-00230-</w:t>
      </w:r>
      <w:r w:rsidRPr="00782F27">
        <w:rPr>
          <w:lang w:val="en-US"/>
        </w:rPr>
        <w:t>F</w:t>
      </w:r>
      <w:r w:rsidRPr="00782F27">
        <w:t xml:space="preserve">, дата регистрации выпуска: 20.02.2012 г. </w:t>
      </w:r>
    </w:p>
    <w:p w:rsidR="003F6962" w:rsidRPr="00782F27" w:rsidRDefault="003F6962" w:rsidP="000E69A5">
      <w:pPr>
        <w:jc w:val="both"/>
      </w:pPr>
    </w:p>
    <w:p w:rsidR="003F6962" w:rsidRPr="00782F27" w:rsidRDefault="003F6962" w:rsidP="000E69A5">
      <w:pPr>
        <w:jc w:val="both"/>
        <w:sectPr w:rsidR="003F6962" w:rsidRPr="00782F27">
          <w:footerReference w:type="default" r:id="rId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056AD4" w:rsidRPr="00782F27" w:rsidTr="00E2019E">
        <w:trPr>
          <w:trHeight w:val="615"/>
        </w:trPr>
        <w:tc>
          <w:tcPr>
            <w:tcW w:w="9350" w:type="dxa"/>
            <w:gridSpan w:val="2"/>
          </w:tcPr>
          <w:p w:rsidR="00056AD4" w:rsidRPr="00782F27" w:rsidRDefault="00056AD4" w:rsidP="00CF12E6">
            <w:pPr>
              <w:jc w:val="both"/>
            </w:pPr>
          </w:p>
          <w:p w:rsidR="00056AD4" w:rsidRPr="00782F27" w:rsidRDefault="00056AD4" w:rsidP="00CF12E6">
            <w:pPr>
              <w:jc w:val="both"/>
              <w:rPr>
                <w:b/>
              </w:rPr>
            </w:pPr>
            <w:r w:rsidRPr="00782F27">
              <w:rPr>
                <w:b/>
              </w:rPr>
              <w:t>Инфор</w:t>
            </w:r>
            <w:r w:rsidR="008C2591" w:rsidRPr="00782F27">
              <w:rPr>
                <w:b/>
              </w:rPr>
              <w:t>мация о наличии кворума по вопросу</w:t>
            </w:r>
            <w:r w:rsidRPr="00782F27">
              <w:rPr>
                <w:b/>
              </w:rPr>
              <w:t xml:space="preserve"> повестки дня, определенного по данным участия в общем собрании акционеров - владельцев голосующих акций:</w:t>
            </w:r>
          </w:p>
          <w:p w:rsidR="00056AD4" w:rsidRPr="00782F27" w:rsidRDefault="00056AD4" w:rsidP="00CF12E6">
            <w:pPr>
              <w:jc w:val="both"/>
            </w:pPr>
          </w:p>
        </w:tc>
      </w:tr>
      <w:tr w:rsidR="00056AD4" w:rsidRPr="00782F27" w:rsidTr="00E2019E">
        <w:trPr>
          <w:trHeight w:val="1138"/>
        </w:trPr>
        <w:tc>
          <w:tcPr>
            <w:tcW w:w="6471" w:type="dxa"/>
            <w:shd w:val="clear" w:color="auto" w:fill="auto"/>
          </w:tcPr>
          <w:p w:rsidR="00056AD4" w:rsidRPr="00782F27" w:rsidRDefault="00056AD4" w:rsidP="00CF12E6">
            <w:pPr>
              <w:keepNext/>
              <w:spacing w:before="40" w:after="40"/>
              <w:jc w:val="both"/>
            </w:pPr>
            <w:r w:rsidRPr="00782F27">
              <w:t>Число голосов, которыми обладали лица, включенные в список лиц, имевших право на участ</w:t>
            </w:r>
            <w:r w:rsidR="008C2591" w:rsidRPr="00782F27">
              <w:t>ие в общем собрании, по вопросу</w:t>
            </w:r>
            <w:r w:rsidRPr="00782F27">
              <w:t xml:space="preserve"> повестки дня общего собрания:</w:t>
            </w:r>
          </w:p>
          <w:p w:rsidR="00056AD4" w:rsidRPr="00782F27" w:rsidRDefault="00056AD4" w:rsidP="00CF12E6">
            <w:pPr>
              <w:keepNext/>
              <w:spacing w:before="40" w:after="40"/>
              <w:jc w:val="both"/>
            </w:pPr>
          </w:p>
        </w:tc>
        <w:tc>
          <w:tcPr>
            <w:tcW w:w="2879" w:type="dxa"/>
            <w:shd w:val="clear" w:color="auto" w:fill="auto"/>
          </w:tcPr>
          <w:p w:rsidR="00056AD4" w:rsidRPr="00782F27" w:rsidRDefault="00056AD4" w:rsidP="00CF12E6">
            <w:pPr>
              <w:keepNext/>
              <w:spacing w:before="40" w:after="40"/>
              <w:jc w:val="right"/>
              <w:rPr>
                <w:lang w:val="en-US"/>
              </w:rPr>
            </w:pPr>
            <w:r w:rsidRPr="00782F27">
              <w:rPr>
                <w:lang w:val="en-US"/>
              </w:rPr>
              <w:t>1 778 656</w:t>
            </w:r>
          </w:p>
          <w:p w:rsidR="00056AD4" w:rsidRPr="00782F27" w:rsidRDefault="00056AD4" w:rsidP="00CF12E6">
            <w:pPr>
              <w:keepNext/>
              <w:spacing w:before="40" w:after="40"/>
              <w:jc w:val="right"/>
              <w:rPr>
                <w:lang w:val="en-US"/>
              </w:rPr>
            </w:pPr>
          </w:p>
        </w:tc>
      </w:tr>
      <w:tr w:rsidR="00056AD4" w:rsidRPr="00782F27" w:rsidTr="00E2019E">
        <w:trPr>
          <w:trHeight w:val="801"/>
        </w:trPr>
        <w:tc>
          <w:tcPr>
            <w:tcW w:w="6471" w:type="dxa"/>
            <w:shd w:val="clear" w:color="auto" w:fill="auto"/>
          </w:tcPr>
          <w:p w:rsidR="00056AD4" w:rsidRPr="00782F27" w:rsidRDefault="00056AD4" w:rsidP="00CF12E6">
            <w:pPr>
              <w:keepNext/>
              <w:spacing w:before="40" w:after="40"/>
              <w:jc w:val="both"/>
            </w:pPr>
            <w:r w:rsidRPr="00782F27">
              <w:t>Число голосов, приходившихся на голос</w:t>
            </w:r>
            <w:r w:rsidR="008C2591" w:rsidRPr="00782F27">
              <w:t>ующие акции общества по вопросу</w:t>
            </w:r>
            <w:r w:rsidRPr="00782F27">
              <w:t xml:space="preserve"> повестки дня общего собрани</w:t>
            </w:r>
            <w:r w:rsidR="004409AF" w:rsidRPr="00782F27">
              <w:t xml:space="preserve">я, определенное с учетом п. 4.24 </w:t>
            </w:r>
            <w:r w:rsidRPr="00782F27">
              <w:t xml:space="preserve">  Положения Банка России «Об общих собраниях акционеров» № 660-П от 16.11.2018 г.</w:t>
            </w:r>
          </w:p>
        </w:tc>
        <w:tc>
          <w:tcPr>
            <w:tcW w:w="2879" w:type="dxa"/>
            <w:shd w:val="clear" w:color="auto" w:fill="auto"/>
          </w:tcPr>
          <w:p w:rsidR="00056AD4" w:rsidRPr="00782F27" w:rsidRDefault="00056AD4" w:rsidP="00CF12E6">
            <w:pPr>
              <w:keepNext/>
              <w:spacing w:before="40" w:after="40"/>
              <w:jc w:val="right"/>
            </w:pPr>
            <w:r w:rsidRPr="00782F27">
              <w:t>1 778 656</w:t>
            </w:r>
          </w:p>
          <w:p w:rsidR="00056AD4" w:rsidRPr="00782F27" w:rsidRDefault="00056AD4" w:rsidP="00CF12E6">
            <w:pPr>
              <w:keepNext/>
              <w:spacing w:before="40" w:after="40"/>
              <w:jc w:val="right"/>
            </w:pPr>
          </w:p>
        </w:tc>
      </w:tr>
      <w:tr w:rsidR="00056AD4" w:rsidRPr="00782F27" w:rsidTr="00E2019E">
        <w:trPr>
          <w:trHeight w:val="840"/>
        </w:trPr>
        <w:tc>
          <w:tcPr>
            <w:tcW w:w="6471" w:type="dxa"/>
            <w:shd w:val="clear" w:color="auto" w:fill="auto"/>
          </w:tcPr>
          <w:p w:rsidR="00056AD4" w:rsidRPr="00782F27" w:rsidRDefault="00056AD4" w:rsidP="00CF12E6">
            <w:pPr>
              <w:keepNext/>
              <w:spacing w:before="40" w:after="40"/>
              <w:jc w:val="both"/>
            </w:pPr>
            <w:r w:rsidRPr="00782F27">
              <w:t>Число голосов, которыми обладали лица, принявшие участие в общем</w:t>
            </w:r>
            <w:r w:rsidR="008C2591" w:rsidRPr="00782F27">
              <w:t xml:space="preserve"> собрании, по вопросу </w:t>
            </w:r>
            <w:r w:rsidRPr="00782F27">
              <w:t>повестки дня общего собрания:</w:t>
            </w:r>
          </w:p>
        </w:tc>
        <w:tc>
          <w:tcPr>
            <w:tcW w:w="2879" w:type="dxa"/>
            <w:shd w:val="clear" w:color="auto" w:fill="auto"/>
          </w:tcPr>
          <w:p w:rsidR="00056AD4" w:rsidRPr="00782F27" w:rsidRDefault="00056AD4" w:rsidP="00CF12E6">
            <w:pPr>
              <w:keepNext/>
              <w:spacing w:before="40" w:after="40"/>
              <w:jc w:val="right"/>
            </w:pPr>
            <w:r w:rsidRPr="00782F27">
              <w:rPr>
                <w:lang w:val="en-US"/>
              </w:rPr>
              <w:t xml:space="preserve">1 774 </w:t>
            </w:r>
            <w:r w:rsidRPr="00782F27">
              <w:t>348</w:t>
            </w:r>
          </w:p>
          <w:p w:rsidR="00056AD4" w:rsidRPr="00782F27" w:rsidRDefault="00056AD4" w:rsidP="00CF12E6">
            <w:pPr>
              <w:keepNext/>
              <w:spacing w:before="40" w:after="40"/>
              <w:jc w:val="right"/>
              <w:rPr>
                <w:lang w:val="en-US"/>
              </w:rPr>
            </w:pPr>
          </w:p>
        </w:tc>
      </w:tr>
      <w:tr w:rsidR="00056AD4" w:rsidRPr="00782F27" w:rsidTr="00E2019E">
        <w:trPr>
          <w:trHeight w:val="615"/>
        </w:trPr>
        <w:tc>
          <w:tcPr>
            <w:tcW w:w="6471" w:type="dxa"/>
            <w:shd w:val="clear" w:color="auto" w:fill="auto"/>
          </w:tcPr>
          <w:p w:rsidR="00056AD4" w:rsidRPr="00782F27" w:rsidRDefault="00056AD4" w:rsidP="00CF12E6">
            <w:pPr>
              <w:keepNext/>
              <w:spacing w:before="40" w:after="40"/>
              <w:rPr>
                <w:b/>
                <w:bCs/>
              </w:rPr>
            </w:pPr>
            <w:r w:rsidRPr="00782F27">
              <w:rPr>
                <w:b/>
                <w:bCs/>
              </w:rPr>
              <w:t>Наличие кворума:</w:t>
            </w:r>
          </w:p>
        </w:tc>
        <w:tc>
          <w:tcPr>
            <w:tcW w:w="2879" w:type="dxa"/>
            <w:shd w:val="clear" w:color="auto" w:fill="auto"/>
          </w:tcPr>
          <w:p w:rsidR="00056AD4" w:rsidRPr="00782F27" w:rsidRDefault="00056AD4" w:rsidP="00CF12E6">
            <w:pPr>
              <w:keepNext/>
              <w:spacing w:before="40" w:after="40"/>
              <w:jc w:val="right"/>
              <w:rPr>
                <w:b/>
                <w:bCs/>
                <w:lang w:val="en-US"/>
              </w:rPr>
            </w:pPr>
            <w:r w:rsidRPr="00782F27">
              <w:rPr>
                <w:b/>
                <w:bCs/>
              </w:rPr>
              <w:t xml:space="preserve">     </w:t>
            </w:r>
            <w:proofErr w:type="spellStart"/>
            <w:proofErr w:type="gramStart"/>
            <w:r w:rsidRPr="00782F27">
              <w:rPr>
                <w:b/>
                <w:bCs/>
                <w:lang w:val="en-US"/>
              </w:rPr>
              <w:t>есть</w:t>
            </w:r>
            <w:proofErr w:type="spellEnd"/>
            <w:proofErr w:type="gramEnd"/>
            <w:r w:rsidRPr="00782F27">
              <w:rPr>
                <w:b/>
                <w:bCs/>
                <w:lang w:val="en-US"/>
              </w:rPr>
              <w:t xml:space="preserve"> (99,76%)</w:t>
            </w:r>
          </w:p>
          <w:p w:rsidR="00056AD4" w:rsidRPr="00782F27" w:rsidRDefault="00056AD4" w:rsidP="00CF12E6">
            <w:pPr>
              <w:keepNext/>
              <w:spacing w:before="40" w:after="40"/>
              <w:jc w:val="right"/>
              <w:rPr>
                <w:b/>
                <w:bCs/>
                <w:lang w:val="en-US"/>
              </w:rPr>
            </w:pPr>
          </w:p>
        </w:tc>
      </w:tr>
    </w:tbl>
    <w:p w:rsidR="00E2019E" w:rsidRPr="00E2019E" w:rsidRDefault="00E2019E" w:rsidP="00E2019E">
      <w:pPr>
        <w:jc w:val="both"/>
        <w:rPr>
          <w:b/>
        </w:rPr>
      </w:pPr>
    </w:p>
    <w:p w:rsidR="00E2019E" w:rsidRPr="00E2019E" w:rsidRDefault="00E2019E" w:rsidP="00E2019E">
      <w:pPr>
        <w:jc w:val="both"/>
        <w:rPr>
          <w:b/>
        </w:rPr>
      </w:pPr>
      <w:r w:rsidRPr="00E2019E">
        <w:rPr>
          <w:b/>
        </w:rPr>
        <w:t xml:space="preserve">Информация о наличии кворума по </w:t>
      </w:r>
      <w:r w:rsidRPr="00E2019E">
        <w:rPr>
          <w:b/>
          <w:bCs/>
        </w:rPr>
        <w:t>вопрос</w:t>
      </w:r>
      <w:r w:rsidRPr="00782F27">
        <w:rPr>
          <w:b/>
          <w:bCs/>
        </w:rPr>
        <w:t>у</w:t>
      </w:r>
      <w:r w:rsidRPr="00E2019E">
        <w:rPr>
          <w:b/>
        </w:rPr>
        <w:t xml:space="preserve"> повестки дня, определенного по данным участия в общем собрании акционеров - владельцев голосующих акци</w:t>
      </w:r>
      <w:r w:rsidR="00CF4280" w:rsidRPr="00782F27">
        <w:rPr>
          <w:b/>
        </w:rPr>
        <w:t>й, не заинтересованных в сделке</w:t>
      </w:r>
      <w:r w:rsidRPr="00E2019E">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E2019E" w:rsidRPr="00E2019E" w:rsidTr="00811E5D">
        <w:trPr>
          <w:cantSplit/>
        </w:trPr>
        <w:tc>
          <w:tcPr>
            <w:tcW w:w="7520" w:type="dxa"/>
            <w:shd w:val="clear" w:color="auto" w:fill="auto"/>
          </w:tcPr>
          <w:p w:rsidR="00E2019E" w:rsidRPr="00E2019E" w:rsidRDefault="00E2019E" w:rsidP="00E2019E">
            <w:pPr>
              <w:keepNext/>
              <w:spacing w:before="40" w:after="40"/>
              <w:jc w:val="both"/>
            </w:pPr>
            <w:r w:rsidRPr="00E2019E">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E2019E" w:rsidRPr="00E2019E" w:rsidRDefault="00E2019E" w:rsidP="00E2019E">
            <w:pPr>
              <w:keepNext/>
              <w:spacing w:before="40" w:after="40"/>
              <w:jc w:val="right"/>
              <w:rPr>
                <w:lang w:val="en-US"/>
              </w:rPr>
            </w:pPr>
            <w:r w:rsidRPr="00E2019E">
              <w:rPr>
                <w:lang w:val="en-US"/>
              </w:rPr>
              <w:t>20 382</w:t>
            </w:r>
          </w:p>
        </w:tc>
      </w:tr>
      <w:tr w:rsidR="00E2019E" w:rsidRPr="00E2019E" w:rsidTr="00811E5D">
        <w:trPr>
          <w:cantSplit/>
        </w:trPr>
        <w:tc>
          <w:tcPr>
            <w:tcW w:w="7520" w:type="dxa"/>
            <w:shd w:val="clear" w:color="auto" w:fill="auto"/>
          </w:tcPr>
          <w:p w:rsidR="00E2019E" w:rsidRPr="00E2019E" w:rsidRDefault="00E2019E" w:rsidP="00E2019E">
            <w:pPr>
              <w:keepNext/>
              <w:spacing w:before="40" w:after="40"/>
              <w:rPr>
                <w:b/>
                <w:bCs/>
              </w:rPr>
            </w:pPr>
            <w:r w:rsidRPr="00E2019E">
              <w:rPr>
                <w:b/>
                <w:bCs/>
              </w:rPr>
              <w:t>Наличие кворума:</w:t>
            </w:r>
          </w:p>
        </w:tc>
        <w:tc>
          <w:tcPr>
            <w:tcW w:w="1830" w:type="dxa"/>
            <w:shd w:val="clear" w:color="auto" w:fill="auto"/>
            <w:vAlign w:val="bottom"/>
          </w:tcPr>
          <w:p w:rsidR="00E2019E" w:rsidRPr="00E2019E" w:rsidRDefault="00E2019E" w:rsidP="00E2019E">
            <w:pPr>
              <w:keepNext/>
              <w:spacing w:before="40" w:after="40"/>
              <w:jc w:val="center"/>
              <w:rPr>
                <w:b/>
                <w:bCs/>
                <w:lang w:val="en-US"/>
              </w:rPr>
            </w:pPr>
            <w:r w:rsidRPr="00E2019E">
              <w:rPr>
                <w:b/>
                <w:bCs/>
              </w:rPr>
              <w:t xml:space="preserve">                  </w:t>
            </w:r>
            <w:r w:rsidRPr="00E2019E">
              <w:rPr>
                <w:b/>
                <w:bCs/>
                <w:lang w:val="en-US"/>
              </w:rPr>
              <w:t>***</w:t>
            </w:r>
          </w:p>
        </w:tc>
      </w:tr>
    </w:tbl>
    <w:p w:rsidR="00E2019E" w:rsidRPr="00E2019E" w:rsidRDefault="00E2019E" w:rsidP="00E2019E">
      <w:pPr>
        <w:jc w:val="both"/>
        <w:rPr>
          <w:i/>
        </w:rPr>
      </w:pPr>
      <w:r w:rsidRPr="00E2019E">
        <w:rPr>
          <w:i/>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E2019E" w:rsidRPr="00E2019E" w:rsidRDefault="00E2019E" w:rsidP="00E2019E">
      <w:pPr>
        <w:autoSpaceDE w:val="0"/>
        <w:autoSpaceDN w:val="0"/>
        <w:adjustRightInd w:val="0"/>
        <w:jc w:val="both"/>
        <w:rPr>
          <w:i/>
        </w:rPr>
      </w:pPr>
      <w:r w:rsidRPr="00E2019E">
        <w:t xml:space="preserve">*** </w:t>
      </w:r>
      <w:r w:rsidRPr="00E2019E">
        <w:rPr>
          <w:i/>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E2019E" w:rsidRPr="00E2019E" w:rsidRDefault="00E2019E" w:rsidP="00E2019E">
      <w:pPr>
        <w:jc w:val="both"/>
      </w:pPr>
      <w:r w:rsidRPr="00782F27">
        <w:t>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w:t>
      </w:r>
      <w:r w:rsidRPr="00E2019E">
        <w:t xml:space="preserve"> </w:t>
      </w:r>
      <w:r w:rsidRPr="00782F27">
        <w:t xml:space="preserve">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E2019E" w:rsidRPr="00E2019E" w:rsidRDefault="00E2019E" w:rsidP="00E2019E">
      <w:pPr>
        <w:jc w:val="both"/>
      </w:pPr>
      <w:r w:rsidRPr="00E2019E">
        <w:t xml:space="preserve">Подконтрольное лицо заинтересованных лиц по сделкам Общества согласно вопросу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w:t>
      </w:r>
      <w:r w:rsidRPr="00E2019E">
        <w:lastRenderedPageBreak/>
        <w:t>указанных сделок, а также акционеров – подконтрольных заинтересованным лицам по указанным сделкам, нет.</w:t>
      </w:r>
    </w:p>
    <w:p w:rsidR="00E2019E" w:rsidRPr="00E2019E" w:rsidRDefault="00E2019E" w:rsidP="00E2019E">
      <w:pPr>
        <w:overflowPunct w:val="0"/>
        <w:autoSpaceDE w:val="0"/>
        <w:autoSpaceDN w:val="0"/>
        <w:adjustRightInd w:val="0"/>
        <w:spacing w:before="60"/>
        <w:ind w:firstLine="708"/>
        <w:jc w:val="both"/>
      </w:pPr>
      <w:r w:rsidRPr="00E2019E">
        <w:t>Кворум для проведения собрания и принятия решения по всем вопросам повестки дня имелся.</w:t>
      </w:r>
    </w:p>
    <w:p w:rsidR="00056AD4" w:rsidRPr="00782F27" w:rsidRDefault="00056AD4" w:rsidP="00056AD4">
      <w:pPr>
        <w:jc w:val="both"/>
      </w:pPr>
    </w:p>
    <w:p w:rsidR="00055939" w:rsidRPr="00782F27" w:rsidRDefault="00055939" w:rsidP="00055939">
      <w:pPr>
        <w:spacing w:before="60"/>
        <w:jc w:val="center"/>
        <w:rPr>
          <w:b/>
          <w:u w:val="single"/>
        </w:rPr>
      </w:pPr>
      <w:r w:rsidRPr="00782F27">
        <w:rPr>
          <w:b/>
          <w:u w:val="single"/>
        </w:rPr>
        <w:t>Повестка дня</w:t>
      </w:r>
      <w:r w:rsidR="008C2591" w:rsidRPr="00782F27">
        <w:rPr>
          <w:b/>
          <w:u w:val="single"/>
        </w:rPr>
        <w:t xml:space="preserve"> внеочередного</w:t>
      </w:r>
      <w:r w:rsidR="00384DC8" w:rsidRPr="00782F27">
        <w:rPr>
          <w:b/>
          <w:u w:val="single"/>
        </w:rPr>
        <w:t xml:space="preserve"> </w:t>
      </w:r>
      <w:r w:rsidRPr="00782F27">
        <w:rPr>
          <w:b/>
          <w:u w:val="single"/>
        </w:rPr>
        <w:t>общего собрания акционеров:</w:t>
      </w:r>
    </w:p>
    <w:p w:rsidR="00225980" w:rsidRPr="00782F27" w:rsidRDefault="00225980" w:rsidP="00225980">
      <w:pPr>
        <w:pStyle w:val="af"/>
        <w:jc w:val="both"/>
      </w:pPr>
    </w:p>
    <w:p w:rsidR="00F15066" w:rsidRPr="00782F27" w:rsidRDefault="00056AD4" w:rsidP="00F15066">
      <w:pPr>
        <w:pStyle w:val="af"/>
        <w:jc w:val="both"/>
        <w:rPr>
          <w:bCs/>
        </w:rPr>
      </w:pPr>
      <w:r w:rsidRPr="00782F27">
        <w:t xml:space="preserve">1). </w:t>
      </w:r>
      <w:r w:rsidR="00F15066" w:rsidRPr="00782F27">
        <w:t xml:space="preserve">О согласии на совершение Обществом крупной сделки, в совершении которой имеется заинтересованность, - заключения Обществом с Публичным акционерным обществом «Сбербанк России» договора поручительства по обязательствам принципала </w:t>
      </w:r>
      <w:proofErr w:type="spellStart"/>
      <w:r w:rsidR="00F15066" w:rsidRPr="00782F27">
        <w:rPr>
          <w:bCs/>
        </w:rPr>
        <w:t>Apollo</w:t>
      </w:r>
      <w:proofErr w:type="spellEnd"/>
      <w:r w:rsidR="00F15066" w:rsidRPr="00782F27">
        <w:rPr>
          <w:bCs/>
        </w:rPr>
        <w:t xml:space="preserve"> </w:t>
      </w:r>
      <w:proofErr w:type="spellStart"/>
      <w:r w:rsidR="00F15066" w:rsidRPr="00782F27">
        <w:rPr>
          <w:bCs/>
        </w:rPr>
        <w:t>Goessnitz</w:t>
      </w:r>
      <w:proofErr w:type="spellEnd"/>
      <w:r w:rsidR="00F15066" w:rsidRPr="00782F27">
        <w:rPr>
          <w:bCs/>
        </w:rPr>
        <w:t xml:space="preserve"> </w:t>
      </w:r>
      <w:proofErr w:type="spellStart"/>
      <w:r w:rsidR="00F15066" w:rsidRPr="00782F27">
        <w:rPr>
          <w:bCs/>
        </w:rPr>
        <w:t>GmbH</w:t>
      </w:r>
      <w:proofErr w:type="spellEnd"/>
      <w:r w:rsidR="00F15066" w:rsidRPr="00782F27">
        <w:rPr>
          <w:bCs/>
        </w:rPr>
        <w:t xml:space="preserve"> (</w:t>
      </w:r>
      <w:proofErr w:type="spellStart"/>
      <w:r w:rsidR="00F15066" w:rsidRPr="00782F27">
        <w:t>Apollo</w:t>
      </w:r>
      <w:proofErr w:type="spellEnd"/>
      <w:r w:rsidR="00F15066" w:rsidRPr="00782F27">
        <w:t xml:space="preserve"> </w:t>
      </w:r>
      <w:proofErr w:type="spellStart"/>
      <w:r w:rsidR="00F15066" w:rsidRPr="00782F27">
        <w:t>Gößnitz</w:t>
      </w:r>
      <w:proofErr w:type="spellEnd"/>
      <w:r w:rsidR="00F15066" w:rsidRPr="00782F27">
        <w:t xml:space="preserve"> </w:t>
      </w:r>
      <w:proofErr w:type="spellStart"/>
      <w:r w:rsidR="00F15066" w:rsidRPr="00782F27">
        <w:t>GmbH</w:t>
      </w:r>
      <w:proofErr w:type="spellEnd"/>
      <w:r w:rsidR="00F15066" w:rsidRPr="00782F27">
        <w:t>)</w:t>
      </w:r>
      <w:r w:rsidR="00F15066" w:rsidRPr="00782F27">
        <w:rPr>
          <w:bCs/>
        </w:rPr>
        <w:t xml:space="preserve">.  </w:t>
      </w:r>
    </w:p>
    <w:p w:rsidR="00D219D1" w:rsidRPr="00782F27" w:rsidRDefault="00D219D1" w:rsidP="00D219D1">
      <w:pPr>
        <w:tabs>
          <w:tab w:val="left" w:pos="993"/>
        </w:tabs>
        <w:jc w:val="both"/>
      </w:pPr>
    </w:p>
    <w:p w:rsidR="00055939" w:rsidRPr="00782F27" w:rsidRDefault="00055939" w:rsidP="00055939">
      <w:pPr>
        <w:jc w:val="center"/>
        <w:rPr>
          <w:b/>
          <w:u w:val="single"/>
        </w:rPr>
      </w:pPr>
      <w:r w:rsidRPr="00782F27">
        <w:rPr>
          <w:b/>
          <w:u w:val="single"/>
        </w:rPr>
        <w:t>Результат</w:t>
      </w:r>
      <w:r w:rsidR="008C2591" w:rsidRPr="00782F27">
        <w:rPr>
          <w:b/>
          <w:u w:val="single"/>
        </w:rPr>
        <w:t xml:space="preserve"> голосования и формулировка решения</w:t>
      </w:r>
    </w:p>
    <w:p w:rsidR="00055939" w:rsidRPr="00782F27" w:rsidRDefault="008C2591" w:rsidP="00055939">
      <w:pPr>
        <w:jc w:val="center"/>
        <w:rPr>
          <w:b/>
          <w:u w:val="single"/>
        </w:rPr>
      </w:pPr>
      <w:r w:rsidRPr="00782F27">
        <w:rPr>
          <w:b/>
          <w:u w:val="single"/>
        </w:rPr>
        <w:t>по вопросу повестки дня</w:t>
      </w:r>
      <w:r w:rsidR="00055939" w:rsidRPr="00782F27">
        <w:rPr>
          <w:b/>
          <w:u w:val="single"/>
        </w:rPr>
        <w:t xml:space="preserve"> общего собрания акционеров Общества:</w:t>
      </w:r>
    </w:p>
    <w:p w:rsidR="000A7F39" w:rsidRPr="00782F27" w:rsidRDefault="000A7F39" w:rsidP="00055939">
      <w:pPr>
        <w:jc w:val="center"/>
        <w:rPr>
          <w:b/>
        </w:rPr>
      </w:pPr>
    </w:p>
    <w:p w:rsidR="00FA3C30" w:rsidRPr="00782F27" w:rsidRDefault="00055939" w:rsidP="00FA3C30">
      <w:pPr>
        <w:jc w:val="both"/>
        <w:rPr>
          <w:b/>
          <w:caps/>
        </w:rPr>
      </w:pPr>
      <w:r w:rsidRPr="00782F27">
        <w:rPr>
          <w:b/>
          <w:caps/>
        </w:rPr>
        <w:t xml:space="preserve">По вопросу № 1: </w:t>
      </w:r>
    </w:p>
    <w:p w:rsidR="00CF4280" w:rsidRPr="00782F27" w:rsidRDefault="00CF4280" w:rsidP="00CF4280">
      <w:pPr>
        <w:pStyle w:val="af"/>
        <w:jc w:val="both"/>
        <w:rPr>
          <w:bCs/>
        </w:rPr>
      </w:pPr>
      <w:r w:rsidRPr="00782F27">
        <w:t xml:space="preserve">О согласии на совершение Обществом крупной сделки, в совершении которой имеется заинтересованность, - заключения Обществом с Публичным акционерным обществом «Сбербанк России» договора поручительства по обязательствам принципала </w:t>
      </w:r>
      <w:proofErr w:type="spellStart"/>
      <w:r w:rsidRPr="00782F27">
        <w:rPr>
          <w:bCs/>
        </w:rPr>
        <w:t>Apollo</w:t>
      </w:r>
      <w:proofErr w:type="spellEnd"/>
      <w:r w:rsidRPr="00782F27">
        <w:rPr>
          <w:bCs/>
        </w:rPr>
        <w:t xml:space="preserve"> </w:t>
      </w:r>
      <w:proofErr w:type="spellStart"/>
      <w:r w:rsidRPr="00782F27">
        <w:rPr>
          <w:bCs/>
        </w:rPr>
        <w:t>Goessnitz</w:t>
      </w:r>
      <w:proofErr w:type="spellEnd"/>
      <w:r w:rsidRPr="00782F27">
        <w:rPr>
          <w:bCs/>
        </w:rPr>
        <w:t xml:space="preserve"> </w:t>
      </w:r>
      <w:proofErr w:type="spellStart"/>
      <w:r w:rsidRPr="00782F27">
        <w:rPr>
          <w:bCs/>
        </w:rPr>
        <w:t>GmbH</w:t>
      </w:r>
      <w:proofErr w:type="spellEnd"/>
      <w:r w:rsidRPr="00782F27">
        <w:rPr>
          <w:bCs/>
        </w:rPr>
        <w:t xml:space="preserve"> (</w:t>
      </w:r>
      <w:proofErr w:type="spellStart"/>
      <w:r w:rsidRPr="00782F27">
        <w:t>Apollo</w:t>
      </w:r>
      <w:proofErr w:type="spellEnd"/>
      <w:r w:rsidRPr="00782F27">
        <w:t xml:space="preserve"> </w:t>
      </w:r>
      <w:proofErr w:type="spellStart"/>
      <w:r w:rsidRPr="00782F27">
        <w:t>Gößnitz</w:t>
      </w:r>
      <w:proofErr w:type="spellEnd"/>
      <w:r w:rsidRPr="00782F27">
        <w:t xml:space="preserve"> </w:t>
      </w:r>
      <w:proofErr w:type="spellStart"/>
      <w:r w:rsidRPr="00782F27">
        <w:t>GmbH</w:t>
      </w:r>
      <w:proofErr w:type="spellEnd"/>
      <w:r w:rsidRPr="00782F27">
        <w:t>)</w:t>
      </w:r>
      <w:r w:rsidRPr="00782F27">
        <w:rPr>
          <w:bCs/>
        </w:rPr>
        <w:t xml:space="preserve">.  </w:t>
      </w:r>
    </w:p>
    <w:p w:rsidR="00CF4280" w:rsidRPr="00782F27" w:rsidRDefault="00CF4280" w:rsidP="00CF4280">
      <w:pPr>
        <w:tabs>
          <w:tab w:val="left" w:pos="993"/>
        </w:tabs>
        <w:jc w:val="both"/>
      </w:pPr>
    </w:p>
    <w:p w:rsidR="00CF4280" w:rsidRPr="00CF4280" w:rsidRDefault="00CF4280" w:rsidP="00CF4280">
      <w:pPr>
        <w:spacing w:before="120" w:after="120"/>
        <w:jc w:val="both"/>
        <w:rPr>
          <w:b/>
          <w:bCs/>
        </w:rPr>
      </w:pPr>
      <w:r w:rsidRPr="00CF4280">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F4280" w:rsidRPr="00CF4280" w:rsidRDefault="00CF4280" w:rsidP="00CF4280">
            <w:pPr>
              <w:overflowPunct w:val="0"/>
              <w:autoSpaceDE w:val="0"/>
              <w:autoSpaceDN w:val="0"/>
              <w:adjustRightInd w:val="0"/>
              <w:jc w:val="center"/>
              <w:rPr>
                <w:b/>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pPr>
            <w:r w:rsidRPr="00CF4280">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pPr>
            <w:r w:rsidRPr="00CF4280">
              <w:t>Сделка с заинтересованностью</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CF4280" w:rsidRDefault="00CF4280" w:rsidP="00CF4280">
            <w:pPr>
              <w:overflowPunct w:val="0"/>
              <w:autoSpaceDE w:val="0"/>
              <w:autoSpaceDN w:val="0"/>
              <w:adjustRightInd w:val="0"/>
              <w:jc w:val="center"/>
              <w:rPr>
                <w:b/>
              </w:rPr>
            </w:pPr>
            <w:r w:rsidRPr="00CF4280">
              <w:rPr>
                <w:b/>
              </w:rPr>
              <w:t>%</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spacing w:before="40" w:after="40"/>
              <w:jc w:val="right"/>
            </w:pPr>
            <w:r w:rsidRPr="00CF4280">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rPr>
                <w:bCs/>
              </w:rPr>
            </w:pPr>
            <w:r w:rsidRPr="00CF4280">
              <w:rPr>
                <w:bCs/>
              </w:rPr>
              <w:t>100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rPr>
                <w:bCs/>
              </w:rPr>
            </w:pPr>
            <w:r w:rsidRPr="00CF4280">
              <w:rPr>
                <w:bCs/>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rPr>
                <w:bCs/>
              </w:rPr>
            </w:pPr>
            <w:r w:rsidRPr="00CF4280">
              <w:rPr>
                <w:bCs/>
              </w:rPr>
              <w:t>100</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r>
      <w:tr w:rsidR="00CF4280" w:rsidRPr="00CF4280"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keepNext/>
              <w:overflowPunct w:val="0"/>
              <w:autoSpaceDE w:val="0"/>
              <w:autoSpaceDN w:val="0"/>
              <w:adjustRightInd w:val="0"/>
              <w:outlineLvl w:val="2"/>
            </w:pPr>
            <w:r w:rsidRPr="00CF4280">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CF4280" w:rsidRDefault="00CF4280" w:rsidP="00CF4280">
            <w:pPr>
              <w:overflowPunct w:val="0"/>
              <w:autoSpaceDE w:val="0"/>
              <w:autoSpaceDN w:val="0"/>
              <w:adjustRightInd w:val="0"/>
              <w:jc w:val="right"/>
            </w:pPr>
            <w:r w:rsidRPr="00CF4280">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CF4280" w:rsidRDefault="00CF4280" w:rsidP="00CF4280">
            <w:pPr>
              <w:overflowPunct w:val="0"/>
              <w:autoSpaceDE w:val="0"/>
              <w:autoSpaceDN w:val="0"/>
              <w:adjustRightInd w:val="0"/>
              <w:jc w:val="right"/>
            </w:pPr>
            <w:r w:rsidRPr="00CF4280">
              <w:t>0</w:t>
            </w:r>
          </w:p>
        </w:tc>
      </w:tr>
    </w:tbl>
    <w:p w:rsidR="00CF4280" w:rsidRPr="00782F27" w:rsidRDefault="00CF4280" w:rsidP="00CF4280">
      <w:pPr>
        <w:ind w:firstLine="708"/>
        <w:jc w:val="both"/>
        <w:rPr>
          <w:b/>
          <w:color w:val="1F4E79"/>
        </w:rPr>
      </w:pPr>
    </w:p>
    <w:p w:rsidR="00CF4280" w:rsidRPr="00782F27" w:rsidRDefault="00CF4280" w:rsidP="00BB4BC9">
      <w:pPr>
        <w:tabs>
          <w:tab w:val="left" w:pos="9000"/>
        </w:tabs>
        <w:rPr>
          <w:b/>
          <w:bCs/>
        </w:rPr>
      </w:pPr>
    </w:p>
    <w:p w:rsidR="00153DE3" w:rsidRPr="00782F27" w:rsidRDefault="00153DE3" w:rsidP="00153DE3">
      <w:pPr>
        <w:tabs>
          <w:tab w:val="left" w:pos="9000"/>
        </w:tabs>
        <w:rPr>
          <w:b/>
          <w:bCs/>
        </w:rPr>
      </w:pPr>
      <w:r w:rsidRPr="00782F27">
        <w:rPr>
          <w:b/>
          <w:bCs/>
        </w:rPr>
        <w:t>Кворум для принятия решения по данному вопросу имеется.</w:t>
      </w:r>
    </w:p>
    <w:p w:rsidR="00D77B7B" w:rsidRPr="00782F27" w:rsidRDefault="00D77B7B" w:rsidP="00153DE3">
      <w:pPr>
        <w:tabs>
          <w:tab w:val="left" w:pos="9000"/>
        </w:tabs>
        <w:jc w:val="center"/>
      </w:pPr>
    </w:p>
    <w:p w:rsidR="00153DE3" w:rsidRPr="00782F27" w:rsidRDefault="00153DE3" w:rsidP="00153DE3">
      <w:pPr>
        <w:tabs>
          <w:tab w:val="left" w:pos="9000"/>
        </w:tabs>
        <w:jc w:val="center"/>
        <w:rPr>
          <w:b/>
          <w:bCs/>
        </w:rPr>
      </w:pPr>
      <w:r w:rsidRPr="00782F27">
        <w:rPr>
          <w:b/>
          <w:bCs/>
        </w:rPr>
        <w:t>Принятое решение:</w:t>
      </w:r>
    </w:p>
    <w:p w:rsidR="00D77B7B" w:rsidRPr="00782F27" w:rsidRDefault="00D77B7B" w:rsidP="00153DE3">
      <w:pPr>
        <w:tabs>
          <w:tab w:val="left" w:pos="9000"/>
        </w:tabs>
        <w:jc w:val="center"/>
        <w:rPr>
          <w:b/>
          <w:bCs/>
        </w:rPr>
      </w:pPr>
    </w:p>
    <w:p w:rsidR="00B73116" w:rsidRPr="00782F27" w:rsidRDefault="00B73116" w:rsidP="00B73116">
      <w:pPr>
        <w:jc w:val="both"/>
      </w:pPr>
      <w:r w:rsidRPr="00782F27">
        <w:t xml:space="preserve">Предоставить согласие на совершение Обществом крупной сделки, в совершении которой имеется заинтересованность – заключение между Обществом и ПАО Сбербанк Договора поручительства в обеспечение обязательств </w:t>
      </w:r>
      <w:r w:rsidRPr="00782F27">
        <w:rPr>
          <w:iCs/>
        </w:rPr>
        <w:t>по Договору</w:t>
      </w:r>
      <w:r w:rsidRPr="00782F27">
        <w:t xml:space="preserve"> на следующих существенных условиях. </w:t>
      </w:r>
    </w:p>
    <w:p w:rsidR="00B73116" w:rsidRPr="00782F27" w:rsidRDefault="00B73116" w:rsidP="00B73116">
      <w:pPr>
        <w:jc w:val="both"/>
      </w:pPr>
    </w:p>
    <w:p w:rsidR="00B73116" w:rsidRPr="00782F27" w:rsidRDefault="00B73116" w:rsidP="00B73116">
      <w:pPr>
        <w:jc w:val="both"/>
        <w:rPr>
          <w:u w:val="single"/>
        </w:rPr>
      </w:pPr>
      <w:r w:rsidRPr="00782F27">
        <w:rPr>
          <w:u w:val="single"/>
        </w:rPr>
        <w:t>Стороны сделки:</w:t>
      </w:r>
    </w:p>
    <w:p w:rsidR="00B73116" w:rsidRPr="00782F27" w:rsidRDefault="00B73116" w:rsidP="00B73116">
      <w:pPr>
        <w:jc w:val="both"/>
      </w:pPr>
      <w:r w:rsidRPr="00782F27">
        <w:t>Гарант/Банк: ПАО Сбербанк</w:t>
      </w:r>
    </w:p>
    <w:p w:rsidR="00B73116" w:rsidRPr="00782F27" w:rsidRDefault="00B73116" w:rsidP="00B73116">
      <w:pPr>
        <w:jc w:val="both"/>
      </w:pPr>
      <w:r w:rsidRPr="00782F27">
        <w:t>Поручитель: АО «Сибнефтемаш»</w:t>
      </w:r>
    </w:p>
    <w:p w:rsidR="00B73116" w:rsidRPr="00782F27" w:rsidRDefault="00B73116" w:rsidP="00B73116">
      <w:pPr>
        <w:jc w:val="both"/>
      </w:pPr>
      <w:r w:rsidRPr="00782F27">
        <w:t xml:space="preserve">Принципал / выгодоприобретатель: </w:t>
      </w:r>
      <w:proofErr w:type="spellStart"/>
      <w:r w:rsidRPr="00782F27">
        <w:rPr>
          <w:bCs/>
        </w:rPr>
        <w:t>Apollo</w:t>
      </w:r>
      <w:proofErr w:type="spellEnd"/>
      <w:r w:rsidRPr="00782F27">
        <w:rPr>
          <w:bCs/>
        </w:rPr>
        <w:t xml:space="preserve"> </w:t>
      </w:r>
      <w:proofErr w:type="spellStart"/>
      <w:r w:rsidRPr="00782F27">
        <w:rPr>
          <w:bCs/>
        </w:rPr>
        <w:t>Goessnitz</w:t>
      </w:r>
      <w:proofErr w:type="spellEnd"/>
      <w:r w:rsidRPr="00782F27">
        <w:rPr>
          <w:bCs/>
        </w:rPr>
        <w:t xml:space="preserve"> </w:t>
      </w:r>
      <w:proofErr w:type="spellStart"/>
      <w:r w:rsidRPr="00782F27">
        <w:rPr>
          <w:bCs/>
        </w:rPr>
        <w:t>GmbH</w:t>
      </w:r>
      <w:proofErr w:type="spellEnd"/>
      <w:r w:rsidRPr="00782F27">
        <w:rPr>
          <w:bCs/>
        </w:rPr>
        <w:t xml:space="preserve"> (</w:t>
      </w:r>
      <w:proofErr w:type="spellStart"/>
      <w:r w:rsidRPr="00782F27">
        <w:rPr>
          <w:bCs/>
        </w:rPr>
        <w:t>Apollo</w:t>
      </w:r>
      <w:proofErr w:type="spellEnd"/>
      <w:r w:rsidRPr="00782F27">
        <w:rPr>
          <w:bCs/>
        </w:rPr>
        <w:t xml:space="preserve"> </w:t>
      </w:r>
      <w:proofErr w:type="spellStart"/>
      <w:r w:rsidRPr="00782F27">
        <w:rPr>
          <w:bCs/>
        </w:rPr>
        <w:t>Gößnitz</w:t>
      </w:r>
      <w:proofErr w:type="spellEnd"/>
      <w:r w:rsidRPr="00782F27">
        <w:rPr>
          <w:bCs/>
        </w:rPr>
        <w:t xml:space="preserve"> </w:t>
      </w:r>
      <w:proofErr w:type="spellStart"/>
      <w:r w:rsidRPr="00782F27">
        <w:rPr>
          <w:bCs/>
        </w:rPr>
        <w:t>GmbH</w:t>
      </w:r>
      <w:proofErr w:type="spellEnd"/>
      <w:r w:rsidRPr="00782F27">
        <w:rPr>
          <w:bCs/>
        </w:rPr>
        <w:t>).</w:t>
      </w:r>
    </w:p>
    <w:p w:rsidR="00B73116" w:rsidRPr="00782F27" w:rsidRDefault="00B73116" w:rsidP="00B73116">
      <w:pPr>
        <w:jc w:val="both"/>
        <w:rPr>
          <w:b/>
        </w:rPr>
      </w:pPr>
    </w:p>
    <w:p w:rsidR="00B73116" w:rsidRPr="00782F27" w:rsidRDefault="00B73116" w:rsidP="00B73116">
      <w:pPr>
        <w:jc w:val="both"/>
        <w:rPr>
          <w:u w:val="single"/>
        </w:rPr>
      </w:pPr>
      <w:r w:rsidRPr="00782F27">
        <w:rPr>
          <w:u w:val="single"/>
        </w:rPr>
        <w:t>Основания отнесения сделки к крупной:</w:t>
      </w:r>
    </w:p>
    <w:p w:rsidR="00B73116" w:rsidRPr="00782F27" w:rsidRDefault="00B73116" w:rsidP="00B73116">
      <w:pPr>
        <w:jc w:val="both"/>
        <w:rPr>
          <w:b/>
        </w:rPr>
      </w:pPr>
      <w:r w:rsidRPr="00782F27">
        <w:rPr>
          <w:b/>
        </w:rPr>
        <w:t xml:space="preserve">Цена сделки определена в размере 2 000 000 000 (Два миллиарда) рублей, что составляет 44,48 % от балансовой стоимости активов Поручителя по состоянию на 31.03.2019 г. </w:t>
      </w:r>
    </w:p>
    <w:p w:rsidR="00B73116" w:rsidRPr="00782F27" w:rsidRDefault="00B73116" w:rsidP="00B73116">
      <w:pPr>
        <w:jc w:val="both"/>
        <w:rPr>
          <w:b/>
        </w:rPr>
      </w:pPr>
      <w:r w:rsidRPr="00782F27">
        <w:rPr>
          <w:i/>
        </w:rPr>
        <w:t xml:space="preserve">Согласно п.1 ст.78 Федерального закона </w:t>
      </w:r>
      <w:r w:rsidRPr="00782F27">
        <w:rPr>
          <w:i/>
          <w:iCs/>
        </w:rPr>
        <w:t>от 26.12.1995 N 208-ФЗ «Об акционерных обществах»</w:t>
      </w:r>
      <w:r w:rsidRPr="00782F27">
        <w:rPr>
          <w:i/>
        </w:rPr>
        <w:t>, сделка для Общества является крупной.</w:t>
      </w:r>
    </w:p>
    <w:p w:rsidR="00B73116" w:rsidRPr="00782F27" w:rsidRDefault="00B73116" w:rsidP="00B73116"/>
    <w:p w:rsidR="00B73116" w:rsidRPr="00782F27" w:rsidRDefault="00B73116" w:rsidP="00B73116">
      <w:pPr>
        <w:rPr>
          <w:u w:val="single"/>
        </w:rPr>
      </w:pPr>
      <w:r w:rsidRPr="00782F27">
        <w:rPr>
          <w:u w:val="single"/>
        </w:rPr>
        <w:t>Существенные условия сделки:</w:t>
      </w:r>
    </w:p>
    <w:p w:rsidR="00B73116" w:rsidRPr="00782F27" w:rsidRDefault="00B73116" w:rsidP="00B73116">
      <w:pPr>
        <w:rPr>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028"/>
        <w:gridCol w:w="3180"/>
      </w:tblGrid>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Вид</w:t>
            </w:r>
            <w:proofErr w:type="spellEnd"/>
            <w:r w:rsidRPr="00782F27">
              <w:rPr>
                <w:b/>
                <w:bCs/>
                <w:lang w:val="en-US" w:eastAsia="x-none"/>
              </w:rPr>
              <w:t xml:space="preserve"> </w:t>
            </w:r>
            <w:proofErr w:type="spellStart"/>
            <w:r w:rsidRPr="00782F27">
              <w:rPr>
                <w:b/>
                <w:bCs/>
                <w:lang w:val="en-US" w:eastAsia="x-none"/>
              </w:rPr>
              <w:t>гарантийного</w:t>
            </w:r>
            <w:proofErr w:type="spellEnd"/>
            <w:r w:rsidRPr="00782F27">
              <w:rPr>
                <w:b/>
                <w:bCs/>
                <w:lang w:val="en-US" w:eastAsia="x-none"/>
              </w:rPr>
              <w:t xml:space="preserve"> </w:t>
            </w:r>
            <w:proofErr w:type="spellStart"/>
            <w:r w:rsidRPr="00782F27">
              <w:rPr>
                <w:b/>
                <w:bCs/>
                <w:lang w:val="en-US" w:eastAsia="x-none"/>
              </w:rPr>
              <w:t>обязательства</w:t>
            </w:r>
            <w:proofErr w:type="spellEnd"/>
          </w:p>
        </w:tc>
        <w:tc>
          <w:tcPr>
            <w:tcW w:w="6208" w:type="dxa"/>
            <w:gridSpan w:val="2"/>
          </w:tcPr>
          <w:p w:rsidR="00B73116" w:rsidRPr="00782F27" w:rsidRDefault="00B73116" w:rsidP="00811E5D">
            <w:pPr>
              <w:jc w:val="both"/>
              <w:rPr>
                <w:iCs/>
                <w:lang w:eastAsia="x-none"/>
              </w:rPr>
            </w:pPr>
            <w:r w:rsidRPr="00782F27">
              <w:rPr>
                <w:iCs/>
                <w:lang w:eastAsia="x-none"/>
              </w:rPr>
              <w:t>Гарантии в рамках Договора о предоставлении банковских гарантий №67/0000/0056/3 от 08.05.2019г. (далее – Договор)</w:t>
            </w:r>
          </w:p>
          <w:p w:rsidR="00B73116" w:rsidRPr="00782F27" w:rsidRDefault="00B73116" w:rsidP="00811E5D">
            <w:pPr>
              <w:jc w:val="both"/>
              <w:rPr>
                <w:bCs/>
                <w:iCs/>
                <w:lang w:eastAsia="x-none"/>
              </w:rPr>
            </w:pPr>
          </w:p>
        </w:tc>
      </w:tr>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Принципал</w:t>
            </w:r>
            <w:proofErr w:type="spellEnd"/>
          </w:p>
        </w:tc>
        <w:tc>
          <w:tcPr>
            <w:tcW w:w="6208" w:type="dxa"/>
            <w:gridSpan w:val="2"/>
          </w:tcPr>
          <w:p w:rsidR="00B73116" w:rsidRPr="00782F27" w:rsidRDefault="00B73116" w:rsidP="00811E5D">
            <w:pPr>
              <w:jc w:val="both"/>
              <w:rPr>
                <w:i/>
                <w:iCs/>
                <w:lang w:eastAsia="x-none"/>
              </w:rPr>
            </w:pPr>
            <w:r w:rsidRPr="00782F27">
              <w:rPr>
                <w:bCs/>
                <w:lang w:val="en-US" w:eastAsia="x-none"/>
              </w:rPr>
              <w:t>Apollo</w:t>
            </w:r>
            <w:r w:rsidRPr="00782F27">
              <w:rPr>
                <w:bCs/>
                <w:lang w:eastAsia="x-none"/>
              </w:rPr>
              <w:t xml:space="preserve"> </w:t>
            </w:r>
            <w:proofErr w:type="spellStart"/>
            <w:r w:rsidRPr="00782F27">
              <w:rPr>
                <w:bCs/>
                <w:lang w:val="en-US" w:eastAsia="x-none"/>
              </w:rPr>
              <w:t>Goessnitz</w:t>
            </w:r>
            <w:proofErr w:type="spellEnd"/>
            <w:r w:rsidRPr="00782F27">
              <w:rPr>
                <w:bCs/>
                <w:lang w:eastAsia="x-none"/>
              </w:rPr>
              <w:t xml:space="preserve"> </w:t>
            </w:r>
            <w:r w:rsidRPr="00782F27">
              <w:rPr>
                <w:bCs/>
                <w:lang w:val="en-US" w:eastAsia="x-none"/>
              </w:rPr>
              <w:t>GmbH</w:t>
            </w:r>
            <w:r w:rsidRPr="00782F27">
              <w:rPr>
                <w:bCs/>
                <w:lang w:eastAsia="x-none"/>
              </w:rPr>
              <w:t xml:space="preserve"> (</w:t>
            </w:r>
            <w:proofErr w:type="spellStart"/>
            <w:r w:rsidRPr="00782F27">
              <w:rPr>
                <w:bCs/>
                <w:lang w:eastAsia="x-none"/>
              </w:rPr>
              <w:t>Apollo</w:t>
            </w:r>
            <w:proofErr w:type="spellEnd"/>
            <w:r w:rsidRPr="00782F27">
              <w:rPr>
                <w:bCs/>
                <w:lang w:eastAsia="x-none"/>
              </w:rPr>
              <w:t xml:space="preserve"> </w:t>
            </w:r>
            <w:proofErr w:type="spellStart"/>
            <w:r w:rsidRPr="00782F27">
              <w:rPr>
                <w:bCs/>
                <w:lang w:eastAsia="x-none"/>
              </w:rPr>
              <w:t>Gößnitz</w:t>
            </w:r>
            <w:proofErr w:type="spellEnd"/>
            <w:r w:rsidRPr="00782F27">
              <w:rPr>
                <w:bCs/>
                <w:lang w:eastAsia="x-none"/>
              </w:rPr>
              <w:t xml:space="preserve"> </w:t>
            </w:r>
            <w:proofErr w:type="spellStart"/>
            <w:r w:rsidRPr="00782F27">
              <w:rPr>
                <w:bCs/>
                <w:lang w:eastAsia="x-none"/>
              </w:rPr>
              <w:t>GmbH</w:t>
            </w:r>
            <w:proofErr w:type="spellEnd"/>
            <w:r w:rsidRPr="00782F27">
              <w:rPr>
                <w:bCs/>
                <w:lang w:eastAsia="x-none"/>
              </w:rPr>
              <w:t>) (Страна регистрации – Федеративная республика Германия)</w:t>
            </w:r>
          </w:p>
        </w:tc>
      </w:tr>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Гарант</w:t>
            </w:r>
            <w:proofErr w:type="spellEnd"/>
          </w:p>
        </w:tc>
        <w:tc>
          <w:tcPr>
            <w:tcW w:w="6208" w:type="dxa"/>
            <w:gridSpan w:val="2"/>
          </w:tcPr>
          <w:p w:rsidR="00B73116" w:rsidRPr="00782F27" w:rsidRDefault="00B73116" w:rsidP="00811E5D">
            <w:pPr>
              <w:jc w:val="both"/>
              <w:rPr>
                <w:bCs/>
                <w:lang w:val="en-US" w:eastAsia="x-none"/>
              </w:rPr>
            </w:pPr>
            <w:r w:rsidRPr="00782F27">
              <w:rPr>
                <w:bCs/>
                <w:lang w:val="en-US" w:eastAsia="x-none"/>
              </w:rPr>
              <w:t xml:space="preserve">ПАО </w:t>
            </w:r>
            <w:proofErr w:type="spellStart"/>
            <w:r w:rsidRPr="00782F27">
              <w:rPr>
                <w:bCs/>
                <w:lang w:val="en-US" w:eastAsia="x-none"/>
              </w:rPr>
              <w:t>Сбербанк</w:t>
            </w:r>
            <w:proofErr w:type="spellEnd"/>
          </w:p>
        </w:tc>
      </w:tr>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Общий</w:t>
            </w:r>
            <w:proofErr w:type="spellEnd"/>
            <w:r w:rsidRPr="00782F27">
              <w:rPr>
                <w:b/>
                <w:bCs/>
                <w:lang w:val="en-US" w:eastAsia="x-none"/>
              </w:rPr>
              <w:t xml:space="preserve"> </w:t>
            </w:r>
            <w:proofErr w:type="spellStart"/>
            <w:r w:rsidRPr="00782F27">
              <w:rPr>
                <w:b/>
                <w:bCs/>
                <w:lang w:val="en-US" w:eastAsia="x-none"/>
              </w:rPr>
              <w:t>лимит</w:t>
            </w:r>
            <w:proofErr w:type="spellEnd"/>
            <w:r w:rsidRPr="00782F27">
              <w:rPr>
                <w:b/>
                <w:bCs/>
                <w:lang w:val="en-US" w:eastAsia="x-none"/>
              </w:rPr>
              <w:t xml:space="preserve"> </w:t>
            </w:r>
            <w:proofErr w:type="spellStart"/>
            <w:r w:rsidRPr="00782F27">
              <w:rPr>
                <w:b/>
                <w:bCs/>
                <w:lang w:val="en-US" w:eastAsia="x-none"/>
              </w:rPr>
              <w:t>гарантий</w:t>
            </w:r>
            <w:proofErr w:type="spellEnd"/>
          </w:p>
          <w:p w:rsidR="00B73116" w:rsidRPr="00782F27" w:rsidRDefault="00B73116" w:rsidP="00811E5D">
            <w:pPr>
              <w:jc w:val="both"/>
              <w:rPr>
                <w:b/>
                <w:bCs/>
                <w:lang w:val="en-US" w:eastAsia="x-none"/>
              </w:rPr>
            </w:pPr>
          </w:p>
        </w:tc>
        <w:tc>
          <w:tcPr>
            <w:tcW w:w="6208" w:type="dxa"/>
            <w:gridSpan w:val="2"/>
          </w:tcPr>
          <w:p w:rsidR="00B73116" w:rsidRPr="00782F27" w:rsidRDefault="00B73116" w:rsidP="00811E5D">
            <w:pPr>
              <w:jc w:val="both"/>
              <w:rPr>
                <w:iCs/>
                <w:lang w:eastAsia="x-none"/>
              </w:rPr>
            </w:pPr>
            <w:r w:rsidRPr="00782F27">
              <w:rPr>
                <w:iCs/>
                <w:lang w:eastAsia="x-none"/>
              </w:rPr>
              <w:t>2 000</w:t>
            </w:r>
            <w:r w:rsidRPr="00782F27">
              <w:rPr>
                <w:iCs/>
                <w:lang w:val="en-US" w:eastAsia="x-none"/>
              </w:rPr>
              <w:t> </w:t>
            </w:r>
            <w:r w:rsidRPr="00782F27">
              <w:rPr>
                <w:iCs/>
                <w:lang w:eastAsia="x-none"/>
              </w:rPr>
              <w:t xml:space="preserve">000 000 рублей или эквивалент данной суммы в рублях </w:t>
            </w:r>
            <w:r w:rsidRPr="00782F27">
              <w:rPr>
                <w:color w:val="000000"/>
                <w:lang w:eastAsia="x-none"/>
              </w:rPr>
              <w:t>по курсу Банка России, установленному на дату предоставления очередной гарантии в рамках Лимита гарантий</w:t>
            </w:r>
            <w:r w:rsidRPr="00782F27">
              <w:rPr>
                <w:iCs/>
                <w:lang w:eastAsia="x-none"/>
              </w:rPr>
              <w:t>.</w:t>
            </w:r>
          </w:p>
          <w:p w:rsidR="00B73116" w:rsidRPr="00782F27" w:rsidRDefault="00B73116" w:rsidP="00811E5D">
            <w:pPr>
              <w:jc w:val="both"/>
              <w:rPr>
                <w:iCs/>
                <w:lang w:eastAsia="x-none"/>
              </w:rPr>
            </w:pPr>
          </w:p>
          <w:p w:rsidR="00B73116" w:rsidRPr="00782F27" w:rsidRDefault="00B73116" w:rsidP="00811E5D">
            <w:pPr>
              <w:jc w:val="both"/>
              <w:rPr>
                <w:iCs/>
                <w:lang w:eastAsia="x-none"/>
              </w:rPr>
            </w:pPr>
            <w:r w:rsidRPr="00782F27">
              <w:rPr>
                <w:iCs/>
                <w:lang w:eastAsia="x-none"/>
              </w:rPr>
              <w:t xml:space="preserve">Общая сумма одновременно действующих гарантийных обязательств в ПАО Сбербанк по Группе </w:t>
            </w:r>
            <w:r w:rsidRPr="00782F27">
              <w:rPr>
                <w:iCs/>
                <w:lang w:val="en-US" w:eastAsia="x-none"/>
              </w:rPr>
              <w:t>HMS</w:t>
            </w:r>
            <w:r w:rsidRPr="00782F27">
              <w:rPr>
                <w:iCs/>
                <w:lang w:eastAsia="x-none"/>
              </w:rPr>
              <w:t xml:space="preserve"> </w:t>
            </w:r>
            <w:r w:rsidRPr="00782F27">
              <w:rPr>
                <w:iCs/>
                <w:lang w:val="en-US" w:eastAsia="x-none"/>
              </w:rPr>
              <w:t>Group</w:t>
            </w:r>
            <w:r w:rsidRPr="00782F27">
              <w:rPr>
                <w:iCs/>
                <w:lang w:eastAsia="x-none"/>
              </w:rPr>
              <w:t xml:space="preserve"> не может превышать 10</w:t>
            </w:r>
            <w:r w:rsidRPr="00782F27">
              <w:rPr>
                <w:iCs/>
                <w:lang w:val="en-US" w:eastAsia="x-none"/>
              </w:rPr>
              <w:t> </w:t>
            </w:r>
            <w:r w:rsidRPr="00782F27">
              <w:rPr>
                <w:iCs/>
                <w:lang w:eastAsia="x-none"/>
              </w:rPr>
              <w:t>000</w:t>
            </w:r>
            <w:r w:rsidRPr="00782F27">
              <w:rPr>
                <w:iCs/>
                <w:lang w:val="en-US" w:eastAsia="x-none"/>
              </w:rPr>
              <w:t> </w:t>
            </w:r>
            <w:r w:rsidRPr="00782F27">
              <w:rPr>
                <w:iCs/>
                <w:lang w:eastAsia="x-none"/>
              </w:rPr>
              <w:t>000</w:t>
            </w:r>
            <w:r w:rsidRPr="00782F27">
              <w:rPr>
                <w:iCs/>
                <w:lang w:val="en-US" w:eastAsia="x-none"/>
              </w:rPr>
              <w:t> </w:t>
            </w:r>
            <w:r w:rsidRPr="00782F27">
              <w:rPr>
                <w:iCs/>
                <w:lang w:eastAsia="x-none"/>
              </w:rPr>
              <w:t xml:space="preserve">000 рублей или эквивалента данной суммы в рублях совокупно. </w:t>
            </w:r>
          </w:p>
          <w:p w:rsidR="00B73116" w:rsidRPr="00782F27" w:rsidRDefault="00B73116" w:rsidP="00811E5D">
            <w:pPr>
              <w:jc w:val="both"/>
              <w:rPr>
                <w:iCs/>
                <w:lang w:eastAsia="x-none"/>
              </w:rPr>
            </w:pPr>
          </w:p>
          <w:p w:rsidR="00B73116" w:rsidRPr="00782F27" w:rsidRDefault="00B73116" w:rsidP="00811E5D">
            <w:pPr>
              <w:jc w:val="both"/>
              <w:rPr>
                <w:iCs/>
                <w:lang w:eastAsia="x-none"/>
              </w:rPr>
            </w:pPr>
            <w:r w:rsidRPr="00782F27">
              <w:rPr>
                <w:iCs/>
                <w:lang w:eastAsia="x-none"/>
              </w:rPr>
              <w:t>Все Гарантии, предоставляемые в рамках Лимита, номинируются в ЕВРО, долларах США или рублях.</w:t>
            </w:r>
          </w:p>
        </w:tc>
      </w:tr>
      <w:tr w:rsidR="00B73116" w:rsidRPr="00782F27" w:rsidTr="00811E5D">
        <w:trPr>
          <w:trHeight w:val="500"/>
        </w:trPr>
        <w:tc>
          <w:tcPr>
            <w:tcW w:w="3119" w:type="dxa"/>
          </w:tcPr>
          <w:p w:rsidR="00B73116" w:rsidRPr="00782F27" w:rsidRDefault="00B73116" w:rsidP="00811E5D">
            <w:pPr>
              <w:rPr>
                <w:b/>
                <w:bCs/>
                <w:lang w:eastAsia="x-none"/>
              </w:rPr>
            </w:pPr>
            <w:r w:rsidRPr="00782F27">
              <w:rPr>
                <w:b/>
                <w:bCs/>
                <w:lang w:eastAsia="x-none"/>
              </w:rPr>
              <w:t>Срок действия гарантийного обязательства/лимита гарантий</w:t>
            </w:r>
          </w:p>
        </w:tc>
        <w:tc>
          <w:tcPr>
            <w:tcW w:w="6208" w:type="dxa"/>
            <w:gridSpan w:val="2"/>
          </w:tcPr>
          <w:p w:rsidR="00B73116" w:rsidRPr="00782F27" w:rsidRDefault="00B73116" w:rsidP="00811E5D">
            <w:pPr>
              <w:jc w:val="both"/>
              <w:rPr>
                <w:lang w:eastAsia="x-none"/>
              </w:rPr>
            </w:pPr>
            <w:r w:rsidRPr="00782F27">
              <w:rPr>
                <w:lang w:eastAsia="x-none"/>
              </w:rPr>
              <w:t>Срок действия лимита гарантий – по 31.12.2026г. (включительно).</w:t>
            </w:r>
          </w:p>
          <w:p w:rsidR="00B73116" w:rsidRPr="00782F27" w:rsidRDefault="00B73116" w:rsidP="00811E5D">
            <w:pPr>
              <w:jc w:val="both"/>
              <w:rPr>
                <w:lang w:eastAsia="x-none"/>
              </w:rPr>
            </w:pPr>
          </w:p>
          <w:p w:rsidR="00B73116" w:rsidRPr="00782F27" w:rsidRDefault="00B73116" w:rsidP="00811E5D">
            <w:pPr>
              <w:jc w:val="both"/>
              <w:rPr>
                <w:lang w:eastAsia="x-none"/>
              </w:rPr>
            </w:pPr>
            <w:r w:rsidRPr="00782F27">
              <w:rPr>
                <w:lang w:eastAsia="x-none"/>
              </w:rPr>
              <w:t>Срок действия гарантийного обязательства - до 60 месяцев (включительно), но не более срока действия Договора.</w:t>
            </w:r>
          </w:p>
          <w:p w:rsidR="00B73116" w:rsidRPr="00782F27" w:rsidRDefault="00B73116" w:rsidP="00811E5D">
            <w:pPr>
              <w:spacing w:before="120" w:after="120"/>
              <w:jc w:val="both"/>
              <w:rPr>
                <w:lang w:eastAsia="x-none"/>
              </w:rPr>
            </w:pPr>
            <w:r w:rsidRPr="00782F27">
              <w:rPr>
                <w:lang w:eastAsia="x-none"/>
              </w:rPr>
              <w:t xml:space="preserve">При этом, срок действия гарантийных обязательств в гарантийный период по контракту на поставку оборудования № 7764/171833 от 01.09.2017 и контракту на поставку оборудования для сооружения энергоблоков № 3,4 АЭС </w:t>
            </w:r>
            <w:proofErr w:type="spellStart"/>
            <w:r w:rsidRPr="00782F27">
              <w:rPr>
                <w:lang w:eastAsia="x-none"/>
              </w:rPr>
              <w:t>Куданкулам</w:t>
            </w:r>
            <w:proofErr w:type="spellEnd"/>
            <w:r w:rsidRPr="00782F27">
              <w:rPr>
                <w:lang w:eastAsia="x-none"/>
              </w:rPr>
              <w:t xml:space="preserve"> № 7725/171806 от 29.08.2017, заключенных между Принципалом и АО «</w:t>
            </w:r>
            <w:proofErr w:type="spellStart"/>
            <w:r w:rsidRPr="00782F27">
              <w:rPr>
                <w:lang w:eastAsia="x-none"/>
              </w:rPr>
              <w:t>Атомстройэкспорт</w:t>
            </w:r>
            <w:proofErr w:type="spellEnd"/>
            <w:r w:rsidRPr="00782F27">
              <w:rPr>
                <w:lang w:eastAsia="x-none"/>
              </w:rPr>
              <w:t>» - до 93 месяцев (включительно), но не более срока действия Договора.</w:t>
            </w:r>
          </w:p>
        </w:tc>
      </w:tr>
      <w:tr w:rsidR="00B73116" w:rsidRPr="00782F27" w:rsidTr="00811E5D">
        <w:tc>
          <w:tcPr>
            <w:tcW w:w="3119" w:type="dxa"/>
          </w:tcPr>
          <w:p w:rsidR="00B73116" w:rsidRPr="00782F27" w:rsidRDefault="00B73116" w:rsidP="00811E5D">
            <w:pPr>
              <w:rPr>
                <w:b/>
                <w:bCs/>
                <w:lang w:eastAsia="x-none"/>
              </w:rPr>
            </w:pPr>
            <w:r w:rsidRPr="00782F27">
              <w:rPr>
                <w:b/>
                <w:bCs/>
                <w:lang w:eastAsia="x-none"/>
              </w:rPr>
              <w:t>Срок возмещения Принципалом суммы платежа по гарантийному обязательству</w:t>
            </w:r>
          </w:p>
        </w:tc>
        <w:tc>
          <w:tcPr>
            <w:tcW w:w="6208" w:type="dxa"/>
            <w:gridSpan w:val="2"/>
          </w:tcPr>
          <w:p w:rsidR="00B73116" w:rsidRPr="00782F27" w:rsidRDefault="00B73116" w:rsidP="00811E5D">
            <w:pPr>
              <w:jc w:val="both"/>
              <w:rPr>
                <w:iCs/>
                <w:lang w:eastAsia="x-none"/>
              </w:rPr>
            </w:pPr>
            <w:r w:rsidRPr="00782F27">
              <w:rPr>
                <w:iCs/>
                <w:lang w:eastAsia="x-none"/>
              </w:rPr>
              <w:t>В течение 10 рабочих дней с даты получения требования Банка о возмещении платежа.</w:t>
            </w:r>
          </w:p>
        </w:tc>
      </w:tr>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Бенефициар</w:t>
            </w:r>
            <w:proofErr w:type="spellEnd"/>
            <w:r w:rsidRPr="00782F27">
              <w:rPr>
                <w:b/>
                <w:bCs/>
                <w:lang w:val="en-US" w:eastAsia="x-none"/>
              </w:rPr>
              <w:t>(-ы)</w:t>
            </w:r>
          </w:p>
        </w:tc>
        <w:tc>
          <w:tcPr>
            <w:tcW w:w="6208" w:type="dxa"/>
            <w:gridSpan w:val="2"/>
          </w:tcPr>
          <w:p w:rsidR="00B73116" w:rsidRPr="00782F27" w:rsidRDefault="00B73116" w:rsidP="00811E5D">
            <w:pPr>
              <w:jc w:val="both"/>
              <w:rPr>
                <w:iCs/>
                <w:lang w:eastAsia="x-none"/>
              </w:rPr>
            </w:pPr>
            <w:r w:rsidRPr="00782F27">
              <w:rPr>
                <w:iCs/>
                <w:lang w:eastAsia="x-none"/>
              </w:rPr>
              <w:t>Бенефициарами могут выступать следующие компании:</w:t>
            </w:r>
          </w:p>
          <w:p w:rsidR="00B73116" w:rsidRPr="00782F27" w:rsidRDefault="00B73116" w:rsidP="00811E5D">
            <w:pPr>
              <w:jc w:val="both"/>
              <w:rPr>
                <w:iCs/>
                <w:lang w:eastAsia="x-none"/>
              </w:rPr>
            </w:pPr>
            <w:r w:rsidRPr="00782F27">
              <w:rPr>
                <w:iCs/>
                <w:lang w:eastAsia="x-none"/>
              </w:rPr>
              <w:t xml:space="preserve">- </w:t>
            </w:r>
            <w:proofErr w:type="spellStart"/>
            <w:r w:rsidRPr="00782F27">
              <w:rPr>
                <w:iCs/>
                <w:lang w:eastAsia="x-none"/>
              </w:rPr>
              <w:t>Госкорпорация</w:t>
            </w:r>
            <w:proofErr w:type="spellEnd"/>
            <w:r w:rsidRPr="00782F27">
              <w:rPr>
                <w:iCs/>
                <w:lang w:eastAsia="x-none"/>
              </w:rPr>
              <w:t xml:space="preserve"> по атомной энергии «</w:t>
            </w:r>
            <w:proofErr w:type="spellStart"/>
            <w:r w:rsidRPr="00782F27">
              <w:rPr>
                <w:iCs/>
                <w:lang w:eastAsia="x-none"/>
              </w:rPr>
              <w:t>Росатом</w:t>
            </w:r>
            <w:proofErr w:type="spellEnd"/>
            <w:r w:rsidRPr="00782F27">
              <w:rPr>
                <w:iCs/>
                <w:lang w:eastAsia="x-none"/>
              </w:rPr>
              <w:t xml:space="preserve">», </w:t>
            </w:r>
          </w:p>
          <w:p w:rsidR="00B73116" w:rsidRPr="00782F27" w:rsidRDefault="00B73116" w:rsidP="00811E5D">
            <w:pPr>
              <w:jc w:val="both"/>
              <w:rPr>
                <w:iCs/>
                <w:lang w:eastAsia="x-none"/>
              </w:rPr>
            </w:pPr>
            <w:r w:rsidRPr="00782F27">
              <w:rPr>
                <w:iCs/>
                <w:lang w:eastAsia="x-none"/>
              </w:rPr>
              <w:t>- дочерние/зависимые компании данной компании,</w:t>
            </w:r>
          </w:p>
          <w:p w:rsidR="00B73116" w:rsidRPr="00782F27" w:rsidRDefault="00B73116" w:rsidP="00811E5D">
            <w:pPr>
              <w:jc w:val="both"/>
              <w:rPr>
                <w:i/>
                <w:iCs/>
                <w:lang w:eastAsia="x-none"/>
              </w:rPr>
            </w:pPr>
            <w:r w:rsidRPr="00782F27">
              <w:rPr>
                <w:iCs/>
                <w:lang w:eastAsia="x-none"/>
              </w:rPr>
              <w:t xml:space="preserve"> -другие компании резиденты/нерезиденты по согласованию с Гарантом. </w:t>
            </w:r>
          </w:p>
        </w:tc>
      </w:tr>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Вид</w:t>
            </w:r>
            <w:proofErr w:type="spellEnd"/>
            <w:r w:rsidRPr="00782F27">
              <w:rPr>
                <w:b/>
                <w:bCs/>
                <w:lang w:val="en-US" w:eastAsia="x-none"/>
              </w:rPr>
              <w:t xml:space="preserve"> </w:t>
            </w:r>
            <w:proofErr w:type="spellStart"/>
            <w:r w:rsidRPr="00782F27">
              <w:rPr>
                <w:b/>
                <w:bCs/>
                <w:lang w:val="en-US" w:eastAsia="x-none"/>
              </w:rPr>
              <w:t>гарантийного</w:t>
            </w:r>
            <w:proofErr w:type="spellEnd"/>
            <w:r w:rsidRPr="00782F27">
              <w:rPr>
                <w:b/>
                <w:bCs/>
                <w:lang w:val="en-US" w:eastAsia="x-none"/>
              </w:rPr>
              <w:t xml:space="preserve"> </w:t>
            </w:r>
            <w:proofErr w:type="spellStart"/>
            <w:r w:rsidRPr="00782F27">
              <w:rPr>
                <w:b/>
                <w:bCs/>
                <w:lang w:val="en-US" w:eastAsia="x-none"/>
              </w:rPr>
              <w:t>обязательства</w:t>
            </w:r>
            <w:proofErr w:type="spellEnd"/>
          </w:p>
        </w:tc>
        <w:tc>
          <w:tcPr>
            <w:tcW w:w="6208" w:type="dxa"/>
            <w:gridSpan w:val="2"/>
          </w:tcPr>
          <w:p w:rsidR="00B73116" w:rsidRPr="00782F27" w:rsidRDefault="00B73116" w:rsidP="00811E5D">
            <w:pPr>
              <w:jc w:val="both"/>
              <w:rPr>
                <w:iCs/>
                <w:lang w:eastAsia="x-none"/>
              </w:rPr>
            </w:pPr>
            <w:r w:rsidRPr="00782F27">
              <w:rPr>
                <w:iCs/>
                <w:lang w:eastAsia="x-none"/>
              </w:rPr>
              <w:t>- гарантии исполнения договорных обязательств по договору/контракту (договорные гарантии, гарантии качества),</w:t>
            </w:r>
          </w:p>
          <w:p w:rsidR="00B73116" w:rsidRPr="00782F27" w:rsidRDefault="00B73116" w:rsidP="00811E5D">
            <w:pPr>
              <w:jc w:val="both"/>
              <w:rPr>
                <w:iCs/>
                <w:lang w:val="en-US" w:eastAsia="x-none"/>
              </w:rPr>
            </w:pPr>
            <w:r w:rsidRPr="00782F27">
              <w:rPr>
                <w:iCs/>
                <w:lang w:val="en-US" w:eastAsia="x-none"/>
              </w:rPr>
              <w:t xml:space="preserve">- </w:t>
            </w:r>
            <w:proofErr w:type="spellStart"/>
            <w:proofErr w:type="gramStart"/>
            <w:r w:rsidRPr="00782F27">
              <w:rPr>
                <w:iCs/>
                <w:lang w:val="en-US" w:eastAsia="x-none"/>
              </w:rPr>
              <w:t>тендерные</w:t>
            </w:r>
            <w:proofErr w:type="spellEnd"/>
            <w:proofErr w:type="gramEnd"/>
            <w:r w:rsidRPr="00782F27">
              <w:rPr>
                <w:iCs/>
                <w:lang w:val="en-US" w:eastAsia="x-none"/>
              </w:rPr>
              <w:t xml:space="preserve"> </w:t>
            </w:r>
            <w:proofErr w:type="spellStart"/>
            <w:r w:rsidRPr="00782F27">
              <w:rPr>
                <w:iCs/>
                <w:lang w:val="en-US" w:eastAsia="x-none"/>
              </w:rPr>
              <w:t>гарантии</w:t>
            </w:r>
            <w:proofErr w:type="spellEnd"/>
            <w:r w:rsidRPr="00782F27">
              <w:rPr>
                <w:iCs/>
                <w:lang w:val="en-US" w:eastAsia="x-none"/>
              </w:rPr>
              <w:t>.</w:t>
            </w:r>
            <w:r w:rsidRPr="00782F27" w:rsidDel="00DE4635">
              <w:rPr>
                <w:iCs/>
                <w:lang w:val="en-US" w:eastAsia="x-none"/>
              </w:rPr>
              <w:t xml:space="preserve"> </w:t>
            </w:r>
          </w:p>
        </w:tc>
      </w:tr>
      <w:tr w:rsidR="00B73116" w:rsidRPr="00782F27" w:rsidTr="00811E5D">
        <w:tc>
          <w:tcPr>
            <w:tcW w:w="3119" w:type="dxa"/>
          </w:tcPr>
          <w:p w:rsidR="00B73116" w:rsidRPr="00782F27" w:rsidRDefault="00B73116" w:rsidP="00811E5D">
            <w:pPr>
              <w:rPr>
                <w:b/>
                <w:bCs/>
                <w:lang w:val="en-US" w:eastAsia="x-none"/>
              </w:rPr>
            </w:pPr>
            <w:proofErr w:type="spellStart"/>
            <w:r w:rsidRPr="00782F27">
              <w:rPr>
                <w:b/>
                <w:bCs/>
                <w:lang w:val="en-US" w:eastAsia="x-none"/>
              </w:rPr>
              <w:t>Обязательства</w:t>
            </w:r>
            <w:proofErr w:type="spellEnd"/>
            <w:r w:rsidRPr="00782F27">
              <w:rPr>
                <w:b/>
                <w:bCs/>
                <w:lang w:val="en-US" w:eastAsia="x-none"/>
              </w:rPr>
              <w:t xml:space="preserve">, </w:t>
            </w:r>
            <w:proofErr w:type="spellStart"/>
            <w:r w:rsidRPr="00782F27">
              <w:rPr>
                <w:b/>
                <w:bCs/>
                <w:lang w:val="en-US" w:eastAsia="x-none"/>
              </w:rPr>
              <w:t>обеспечиваемые</w:t>
            </w:r>
            <w:proofErr w:type="spellEnd"/>
            <w:r w:rsidRPr="00782F27">
              <w:rPr>
                <w:b/>
                <w:bCs/>
                <w:lang w:val="en-US" w:eastAsia="x-none"/>
              </w:rPr>
              <w:t xml:space="preserve"> </w:t>
            </w:r>
            <w:proofErr w:type="spellStart"/>
            <w:r w:rsidRPr="00782F27">
              <w:rPr>
                <w:b/>
                <w:bCs/>
                <w:lang w:val="en-US" w:eastAsia="x-none"/>
              </w:rPr>
              <w:lastRenderedPageBreak/>
              <w:t>гарантийным</w:t>
            </w:r>
            <w:proofErr w:type="spellEnd"/>
            <w:r w:rsidRPr="00782F27">
              <w:rPr>
                <w:b/>
                <w:bCs/>
                <w:lang w:val="en-US" w:eastAsia="x-none"/>
              </w:rPr>
              <w:t xml:space="preserve"> </w:t>
            </w:r>
            <w:proofErr w:type="spellStart"/>
            <w:r w:rsidRPr="00782F27">
              <w:rPr>
                <w:b/>
                <w:bCs/>
                <w:lang w:val="en-US" w:eastAsia="x-none"/>
              </w:rPr>
              <w:t>обязательством</w:t>
            </w:r>
            <w:proofErr w:type="spellEnd"/>
          </w:p>
        </w:tc>
        <w:tc>
          <w:tcPr>
            <w:tcW w:w="6208" w:type="dxa"/>
            <w:gridSpan w:val="2"/>
          </w:tcPr>
          <w:p w:rsidR="00B73116" w:rsidRPr="00782F27" w:rsidRDefault="00B73116" w:rsidP="00811E5D">
            <w:pPr>
              <w:jc w:val="both"/>
              <w:rPr>
                <w:iCs/>
                <w:lang w:eastAsia="x-none"/>
              </w:rPr>
            </w:pPr>
            <w:r w:rsidRPr="00782F27">
              <w:rPr>
                <w:iCs/>
                <w:lang w:eastAsia="x-none"/>
              </w:rPr>
              <w:lastRenderedPageBreak/>
              <w:t>- обязательство по своевременной поставке товаров/продукции, по выполнению работ, оказанию услуг по договорам/контрактам;</w:t>
            </w:r>
          </w:p>
          <w:p w:rsidR="00B73116" w:rsidRPr="00782F27" w:rsidRDefault="00B73116" w:rsidP="00811E5D">
            <w:pPr>
              <w:jc w:val="both"/>
              <w:rPr>
                <w:iCs/>
                <w:lang w:eastAsia="x-none"/>
              </w:rPr>
            </w:pPr>
            <w:r w:rsidRPr="00782F27">
              <w:rPr>
                <w:iCs/>
                <w:lang w:eastAsia="x-none"/>
              </w:rPr>
              <w:lastRenderedPageBreak/>
              <w:t>- обязательство по полному или частичному возврату авансового платежа (платежей);</w:t>
            </w:r>
          </w:p>
          <w:p w:rsidR="00B73116" w:rsidRPr="00782F27" w:rsidRDefault="00B73116" w:rsidP="00811E5D">
            <w:pPr>
              <w:tabs>
                <w:tab w:val="left" w:pos="4570"/>
              </w:tabs>
              <w:jc w:val="both"/>
              <w:rPr>
                <w:iCs/>
                <w:lang w:eastAsia="x-none"/>
              </w:rPr>
            </w:pPr>
            <w:r w:rsidRPr="00782F27">
              <w:rPr>
                <w:iCs/>
                <w:lang w:eastAsia="x-none"/>
              </w:rPr>
              <w:t>- исполнение обязательств по договору/контракту в гарантийный период;</w:t>
            </w:r>
          </w:p>
          <w:p w:rsidR="00B73116" w:rsidRPr="00782F27" w:rsidRDefault="00B73116" w:rsidP="00811E5D">
            <w:pPr>
              <w:rPr>
                <w:i/>
                <w:iCs/>
                <w:lang w:eastAsia="x-none"/>
              </w:rPr>
            </w:pPr>
            <w:r w:rsidRPr="00782F27">
              <w:rPr>
                <w:iCs/>
                <w:lang w:eastAsia="x-none"/>
              </w:rPr>
              <w:t>- участие в тендерах/конкурсах/аукционах.</w:t>
            </w:r>
          </w:p>
        </w:tc>
      </w:tr>
      <w:tr w:rsidR="00B73116" w:rsidRPr="00782F27" w:rsidTr="00811E5D">
        <w:trPr>
          <w:trHeight w:val="196"/>
        </w:trPr>
        <w:tc>
          <w:tcPr>
            <w:tcW w:w="9327" w:type="dxa"/>
            <w:gridSpan w:val="3"/>
            <w:tcMar>
              <w:top w:w="57" w:type="dxa"/>
              <w:left w:w="85" w:type="dxa"/>
              <w:bottom w:w="57" w:type="dxa"/>
              <w:right w:w="85" w:type="dxa"/>
            </w:tcMar>
          </w:tcPr>
          <w:p w:rsidR="00B73116" w:rsidRPr="00782F27" w:rsidRDefault="00B73116" w:rsidP="00811E5D">
            <w:pPr>
              <w:rPr>
                <w:lang w:val="en-US" w:eastAsia="x-none"/>
              </w:rPr>
            </w:pPr>
            <w:proofErr w:type="spellStart"/>
            <w:r w:rsidRPr="00782F27">
              <w:rPr>
                <w:b/>
                <w:bCs/>
                <w:lang w:val="en-US" w:eastAsia="x-none"/>
              </w:rPr>
              <w:lastRenderedPageBreak/>
              <w:t>Комиссионные</w:t>
            </w:r>
            <w:proofErr w:type="spellEnd"/>
            <w:r w:rsidRPr="00782F27">
              <w:rPr>
                <w:b/>
                <w:bCs/>
                <w:lang w:val="en-US" w:eastAsia="x-none"/>
              </w:rPr>
              <w:t xml:space="preserve"> </w:t>
            </w:r>
            <w:proofErr w:type="spellStart"/>
            <w:r w:rsidRPr="00782F27">
              <w:rPr>
                <w:b/>
                <w:bCs/>
                <w:lang w:val="en-US" w:eastAsia="x-none"/>
              </w:rPr>
              <w:t>платежи</w:t>
            </w:r>
            <w:proofErr w:type="spellEnd"/>
          </w:p>
        </w:tc>
      </w:tr>
      <w:tr w:rsidR="00B73116" w:rsidRPr="00782F27" w:rsidTr="00811E5D">
        <w:trPr>
          <w:trHeight w:val="57"/>
        </w:trPr>
        <w:tc>
          <w:tcPr>
            <w:tcW w:w="3119" w:type="dxa"/>
          </w:tcPr>
          <w:p w:rsidR="00B73116" w:rsidRPr="00782F27" w:rsidRDefault="00B73116" w:rsidP="00811E5D">
            <w:pPr>
              <w:rPr>
                <w:b/>
                <w:bCs/>
                <w:lang w:eastAsia="x-none"/>
              </w:rPr>
            </w:pPr>
            <w:r w:rsidRPr="00782F27">
              <w:rPr>
                <w:b/>
                <w:lang w:eastAsia="x-none"/>
              </w:rPr>
              <w:t>Вознаграждение за выдачу гарантийного обязательства</w:t>
            </w:r>
          </w:p>
        </w:tc>
        <w:tc>
          <w:tcPr>
            <w:tcW w:w="6208" w:type="dxa"/>
            <w:gridSpan w:val="2"/>
          </w:tcPr>
          <w:p w:rsidR="00B73116" w:rsidRPr="00782F27" w:rsidRDefault="00B73116" w:rsidP="00811E5D">
            <w:pPr>
              <w:tabs>
                <w:tab w:val="num" w:pos="145"/>
              </w:tabs>
            </w:pPr>
            <w:r w:rsidRPr="00782F27">
              <w:t>Не более 5% годовых, но не менее 20 000,00 рублей.</w:t>
            </w:r>
          </w:p>
          <w:p w:rsidR="00B73116" w:rsidRPr="00782F27" w:rsidRDefault="00B73116" w:rsidP="00811E5D">
            <w:pPr>
              <w:tabs>
                <w:tab w:val="num" w:pos="145"/>
              </w:tabs>
            </w:pPr>
          </w:p>
        </w:tc>
      </w:tr>
      <w:tr w:rsidR="00B73116" w:rsidRPr="00782F27" w:rsidTr="00811E5D">
        <w:tc>
          <w:tcPr>
            <w:tcW w:w="3119" w:type="dxa"/>
          </w:tcPr>
          <w:p w:rsidR="00B73116" w:rsidRPr="00782F27" w:rsidRDefault="00B73116" w:rsidP="00811E5D">
            <w:pPr>
              <w:rPr>
                <w:lang w:val="en-US" w:eastAsia="x-none"/>
              </w:rPr>
            </w:pPr>
            <w:proofErr w:type="spellStart"/>
            <w:r w:rsidRPr="00782F27">
              <w:rPr>
                <w:b/>
                <w:bCs/>
                <w:lang w:val="en-US" w:eastAsia="x-none"/>
              </w:rPr>
              <w:t>Порядок</w:t>
            </w:r>
            <w:proofErr w:type="spellEnd"/>
            <w:r w:rsidRPr="00782F27">
              <w:rPr>
                <w:b/>
                <w:bCs/>
                <w:lang w:val="en-US" w:eastAsia="x-none"/>
              </w:rPr>
              <w:t xml:space="preserve"> </w:t>
            </w:r>
            <w:proofErr w:type="spellStart"/>
            <w:r w:rsidRPr="00782F27">
              <w:rPr>
                <w:b/>
                <w:bCs/>
                <w:lang w:val="en-US" w:eastAsia="x-none"/>
              </w:rPr>
              <w:t>уплаты</w:t>
            </w:r>
            <w:proofErr w:type="spellEnd"/>
            <w:r w:rsidRPr="00782F27">
              <w:rPr>
                <w:b/>
                <w:bCs/>
                <w:lang w:val="en-US" w:eastAsia="x-none"/>
              </w:rPr>
              <w:t xml:space="preserve"> </w:t>
            </w:r>
            <w:proofErr w:type="spellStart"/>
            <w:r w:rsidRPr="00782F27">
              <w:rPr>
                <w:b/>
                <w:bCs/>
                <w:lang w:val="en-US" w:eastAsia="x-none"/>
              </w:rPr>
              <w:t>вознаграждения</w:t>
            </w:r>
            <w:proofErr w:type="spellEnd"/>
          </w:p>
        </w:tc>
        <w:tc>
          <w:tcPr>
            <w:tcW w:w="6208" w:type="dxa"/>
            <w:gridSpan w:val="2"/>
          </w:tcPr>
          <w:p w:rsidR="00B73116" w:rsidRPr="00782F27" w:rsidRDefault="00B73116" w:rsidP="00811E5D">
            <w:pPr>
              <w:autoSpaceDE w:val="0"/>
              <w:autoSpaceDN w:val="0"/>
              <w:adjustRightInd w:val="0"/>
              <w:jc w:val="both"/>
            </w:pPr>
            <w:r w:rsidRPr="00782F27">
              <w:t>1) Вознаграждение уплачивается ежеквартально по гарантиям:</w:t>
            </w:r>
          </w:p>
          <w:p w:rsidR="00B73116" w:rsidRPr="00782F27" w:rsidRDefault="00B73116" w:rsidP="00811E5D">
            <w:pPr>
              <w:autoSpaceDE w:val="0"/>
              <w:autoSpaceDN w:val="0"/>
              <w:adjustRightInd w:val="0"/>
              <w:jc w:val="both"/>
            </w:pPr>
            <w:r w:rsidRPr="00782F27">
              <w:t>- на сумму Гарантии свыше 50 000 000,0 руб. и сроком действия свыше 6 месяцев;</w:t>
            </w:r>
          </w:p>
          <w:p w:rsidR="00B73116" w:rsidRPr="00782F27" w:rsidRDefault="00B73116" w:rsidP="00811E5D">
            <w:pPr>
              <w:jc w:val="both"/>
            </w:pPr>
            <w:r w:rsidRPr="00782F27">
              <w:t>- независимо от суммы, если срок действия свыше 1 года и сумма вознаграждения более 20 000 рублей.</w:t>
            </w:r>
          </w:p>
          <w:p w:rsidR="00B73116" w:rsidRPr="00782F27" w:rsidRDefault="00B73116" w:rsidP="00811E5D">
            <w:pPr>
              <w:jc w:val="both"/>
            </w:pPr>
            <w:r w:rsidRPr="00782F27">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 (включительно), за текущий календарный квартал действия соответствующей Гарантии.</w:t>
            </w:r>
          </w:p>
          <w:p w:rsidR="00B73116" w:rsidRPr="00782F27" w:rsidRDefault="00B73116" w:rsidP="00811E5D">
            <w:pPr>
              <w:widowControl w:val="0"/>
              <w:shd w:val="clear" w:color="auto" w:fill="FFFFFF"/>
              <w:tabs>
                <w:tab w:val="left" w:pos="284"/>
                <w:tab w:val="num" w:pos="1222"/>
                <w:tab w:val="left" w:pos="1418"/>
              </w:tabs>
              <w:jc w:val="both"/>
              <w:outlineLvl w:val="0"/>
              <w:rPr>
                <w:bCs/>
              </w:rPr>
            </w:pPr>
            <w:r w:rsidRPr="00782F27">
              <w:rPr>
                <w:bCs/>
              </w:rPr>
              <w:t>Возможна уплата указанного вознаграждения единовременно до выдачи Гарантии по письменному соглашению с Гарантом.</w:t>
            </w:r>
          </w:p>
          <w:p w:rsidR="00B73116" w:rsidRPr="00782F27" w:rsidRDefault="00B73116" w:rsidP="00811E5D">
            <w:pPr>
              <w:jc w:val="both"/>
            </w:pPr>
          </w:p>
          <w:p w:rsidR="00B73116" w:rsidRPr="00782F27" w:rsidRDefault="00B73116" w:rsidP="00811E5D">
            <w:pPr>
              <w:jc w:val="both"/>
              <w:rPr>
                <w:i/>
                <w:iCs/>
                <w:lang w:val="x-none" w:eastAsia="en-US"/>
              </w:rPr>
            </w:pPr>
            <w:r w:rsidRPr="00782F27">
              <w:rPr>
                <w:lang w:val="x-none" w:eastAsia="en-US"/>
              </w:rPr>
              <w:t>2) По остальным Гарантиям вознаграждение уплачивается единовременно, не позднее даты выдачи гарантии, включая Гарантии, размер вознаграждения по которым составит 20 000 рублей.</w:t>
            </w:r>
          </w:p>
        </w:tc>
      </w:tr>
      <w:tr w:rsidR="00B73116" w:rsidRPr="00782F27" w:rsidTr="00811E5D">
        <w:tc>
          <w:tcPr>
            <w:tcW w:w="3119" w:type="dxa"/>
          </w:tcPr>
          <w:p w:rsidR="00B73116" w:rsidRPr="00782F27" w:rsidRDefault="00B73116" w:rsidP="00811E5D">
            <w:pPr>
              <w:jc w:val="both"/>
              <w:rPr>
                <w:i/>
                <w:iCs/>
                <w:lang w:val="en-US" w:eastAsia="x-none"/>
              </w:rPr>
            </w:pPr>
            <w:proofErr w:type="spellStart"/>
            <w:r w:rsidRPr="00782F27">
              <w:rPr>
                <w:b/>
                <w:bCs/>
                <w:lang w:val="en-US" w:eastAsia="x-none"/>
              </w:rPr>
              <w:t>Прочие</w:t>
            </w:r>
            <w:proofErr w:type="spellEnd"/>
            <w:r w:rsidRPr="00782F27">
              <w:rPr>
                <w:b/>
                <w:bCs/>
                <w:lang w:val="en-US" w:eastAsia="x-none"/>
              </w:rPr>
              <w:t xml:space="preserve"> </w:t>
            </w:r>
            <w:proofErr w:type="spellStart"/>
            <w:r w:rsidRPr="00782F27">
              <w:rPr>
                <w:b/>
                <w:bCs/>
                <w:lang w:val="en-US" w:eastAsia="x-none"/>
              </w:rPr>
              <w:t>платы</w:t>
            </w:r>
            <w:proofErr w:type="spellEnd"/>
          </w:p>
        </w:tc>
        <w:tc>
          <w:tcPr>
            <w:tcW w:w="3028" w:type="dxa"/>
          </w:tcPr>
          <w:p w:rsidR="00B73116" w:rsidRPr="00782F27" w:rsidRDefault="00B73116" w:rsidP="00811E5D">
            <w:pPr>
              <w:jc w:val="both"/>
              <w:rPr>
                <w:b/>
                <w:bCs/>
                <w:lang w:val="en-US" w:eastAsia="x-none"/>
              </w:rPr>
            </w:pPr>
            <w:proofErr w:type="spellStart"/>
            <w:r w:rsidRPr="00782F27">
              <w:rPr>
                <w:b/>
                <w:bCs/>
                <w:lang w:val="en-US" w:eastAsia="x-none"/>
              </w:rPr>
              <w:t>Размер</w:t>
            </w:r>
            <w:proofErr w:type="spellEnd"/>
            <w:r w:rsidRPr="00782F27">
              <w:rPr>
                <w:b/>
                <w:bCs/>
                <w:lang w:val="en-US" w:eastAsia="x-none"/>
              </w:rPr>
              <w:t xml:space="preserve"> и</w:t>
            </w:r>
            <w:r w:rsidRPr="00782F27">
              <w:rPr>
                <w:i/>
                <w:iCs/>
                <w:lang w:val="en-US" w:eastAsia="x-none"/>
              </w:rPr>
              <w:t xml:space="preserve"> </w:t>
            </w:r>
            <w:proofErr w:type="spellStart"/>
            <w:r w:rsidRPr="00782F27">
              <w:rPr>
                <w:b/>
                <w:bCs/>
                <w:lang w:val="en-US" w:eastAsia="x-none"/>
              </w:rPr>
              <w:t>база</w:t>
            </w:r>
            <w:proofErr w:type="spellEnd"/>
            <w:r w:rsidRPr="00782F27">
              <w:rPr>
                <w:b/>
                <w:bCs/>
                <w:lang w:val="en-US" w:eastAsia="x-none"/>
              </w:rPr>
              <w:t xml:space="preserve"> </w:t>
            </w:r>
            <w:proofErr w:type="spellStart"/>
            <w:r w:rsidRPr="00782F27">
              <w:rPr>
                <w:b/>
                <w:bCs/>
                <w:lang w:val="en-US" w:eastAsia="x-none"/>
              </w:rPr>
              <w:t>расчета</w:t>
            </w:r>
            <w:proofErr w:type="spellEnd"/>
          </w:p>
        </w:tc>
        <w:tc>
          <w:tcPr>
            <w:tcW w:w="3180" w:type="dxa"/>
          </w:tcPr>
          <w:p w:rsidR="00B73116" w:rsidRPr="00782F27" w:rsidRDefault="00B73116" w:rsidP="00811E5D">
            <w:pPr>
              <w:jc w:val="both"/>
              <w:rPr>
                <w:b/>
                <w:bCs/>
                <w:lang w:val="en-US" w:eastAsia="x-none"/>
              </w:rPr>
            </w:pPr>
            <w:proofErr w:type="spellStart"/>
            <w:r w:rsidRPr="00782F27">
              <w:rPr>
                <w:b/>
                <w:bCs/>
                <w:lang w:val="en-US" w:eastAsia="x-none"/>
              </w:rPr>
              <w:t>Порядок</w:t>
            </w:r>
            <w:proofErr w:type="spellEnd"/>
            <w:r w:rsidRPr="00782F27">
              <w:rPr>
                <w:b/>
                <w:bCs/>
                <w:lang w:val="en-US" w:eastAsia="x-none"/>
              </w:rPr>
              <w:t xml:space="preserve"> </w:t>
            </w:r>
            <w:proofErr w:type="spellStart"/>
            <w:r w:rsidRPr="00782F27">
              <w:rPr>
                <w:b/>
                <w:bCs/>
                <w:lang w:val="en-US" w:eastAsia="x-none"/>
              </w:rPr>
              <w:t>уплаты</w:t>
            </w:r>
            <w:proofErr w:type="spellEnd"/>
          </w:p>
        </w:tc>
      </w:tr>
      <w:tr w:rsidR="00B73116" w:rsidRPr="00782F27" w:rsidTr="00811E5D">
        <w:tc>
          <w:tcPr>
            <w:tcW w:w="3119" w:type="dxa"/>
          </w:tcPr>
          <w:p w:rsidR="00B73116" w:rsidRPr="00782F27" w:rsidRDefault="00B73116" w:rsidP="00811E5D">
            <w:pPr>
              <w:jc w:val="both"/>
              <w:rPr>
                <w:b/>
                <w:lang w:eastAsia="x-none"/>
              </w:rPr>
            </w:pPr>
            <w:r w:rsidRPr="00782F27">
              <w:rPr>
                <w:b/>
                <w:bCs/>
                <w:lang w:eastAsia="x-none"/>
              </w:rPr>
              <w:t>Плата за вынужденное отвлечение денежных средств</w:t>
            </w:r>
          </w:p>
        </w:tc>
        <w:tc>
          <w:tcPr>
            <w:tcW w:w="3028" w:type="dxa"/>
          </w:tcPr>
          <w:p w:rsidR="00B73116" w:rsidRPr="00782F27" w:rsidRDefault="00B73116" w:rsidP="00811E5D">
            <w:pPr>
              <w:rPr>
                <w:i/>
                <w:iCs/>
              </w:rPr>
            </w:pPr>
            <w:r w:rsidRPr="00782F27">
              <w:t>15% годовых с суммы произведенного платежа по каждой Гарантии</w:t>
            </w:r>
          </w:p>
        </w:tc>
        <w:tc>
          <w:tcPr>
            <w:tcW w:w="3180" w:type="dxa"/>
          </w:tcPr>
          <w:p w:rsidR="00B73116" w:rsidRPr="00782F27" w:rsidRDefault="00B73116" w:rsidP="00811E5D">
            <w:pPr>
              <w:jc w:val="both"/>
              <w:rPr>
                <w:i/>
                <w:iCs/>
                <w:lang w:eastAsia="x-none"/>
              </w:rPr>
            </w:pPr>
            <w:r w:rsidRPr="00782F27">
              <w:rPr>
                <w:lang w:eastAsia="x-none"/>
              </w:rPr>
              <w:t>Одновременно с возмещением платежа по Гарантии</w:t>
            </w:r>
          </w:p>
        </w:tc>
      </w:tr>
      <w:tr w:rsidR="00B73116" w:rsidRPr="00782F27" w:rsidTr="00811E5D">
        <w:tc>
          <w:tcPr>
            <w:tcW w:w="6147" w:type="dxa"/>
            <w:gridSpan w:val="2"/>
            <w:tcMar>
              <w:top w:w="57" w:type="dxa"/>
              <w:left w:w="85" w:type="dxa"/>
              <w:bottom w:w="57" w:type="dxa"/>
              <w:right w:w="85" w:type="dxa"/>
            </w:tcMar>
          </w:tcPr>
          <w:p w:rsidR="00B73116" w:rsidRPr="00782F27" w:rsidRDefault="00B73116" w:rsidP="00811E5D">
            <w:pPr>
              <w:rPr>
                <w:b/>
                <w:bCs/>
                <w:lang w:val="en-US" w:eastAsia="x-none"/>
              </w:rPr>
            </w:pPr>
            <w:proofErr w:type="spellStart"/>
            <w:r w:rsidRPr="00782F27">
              <w:rPr>
                <w:b/>
                <w:bCs/>
                <w:lang w:val="en-US" w:eastAsia="x-none"/>
              </w:rPr>
              <w:t>Неустойки</w:t>
            </w:r>
            <w:proofErr w:type="spellEnd"/>
          </w:p>
        </w:tc>
        <w:tc>
          <w:tcPr>
            <w:tcW w:w="3180" w:type="dxa"/>
            <w:tcMar>
              <w:top w:w="57" w:type="dxa"/>
              <w:left w:w="85" w:type="dxa"/>
              <w:bottom w:w="57" w:type="dxa"/>
              <w:right w:w="85" w:type="dxa"/>
            </w:tcMar>
          </w:tcPr>
          <w:p w:rsidR="00B73116" w:rsidRPr="00782F27" w:rsidRDefault="00B73116" w:rsidP="00811E5D">
            <w:pPr>
              <w:rPr>
                <w:b/>
                <w:bCs/>
              </w:rPr>
            </w:pPr>
            <w:r w:rsidRPr="00782F27">
              <w:rPr>
                <w:b/>
                <w:bCs/>
              </w:rPr>
              <w:t>Размер</w:t>
            </w:r>
          </w:p>
        </w:tc>
      </w:tr>
      <w:tr w:rsidR="00B73116" w:rsidRPr="00782F27" w:rsidTr="00811E5D">
        <w:tc>
          <w:tcPr>
            <w:tcW w:w="6147" w:type="dxa"/>
            <w:gridSpan w:val="2"/>
            <w:tcMar>
              <w:top w:w="57" w:type="dxa"/>
              <w:left w:w="85" w:type="dxa"/>
              <w:bottom w:w="57" w:type="dxa"/>
              <w:right w:w="85" w:type="dxa"/>
            </w:tcMar>
          </w:tcPr>
          <w:p w:rsidR="00B73116" w:rsidRPr="00782F27" w:rsidRDefault="00B73116" w:rsidP="00811E5D">
            <w:pPr>
              <w:jc w:val="both"/>
              <w:rPr>
                <w:b/>
                <w:bCs/>
                <w:lang w:val="en-US" w:eastAsia="x-none"/>
              </w:rPr>
            </w:pPr>
            <w:r w:rsidRPr="00782F27">
              <w:rPr>
                <w:b/>
                <w:lang w:eastAsia="x-none"/>
              </w:rPr>
              <w:t xml:space="preserve">За несвоевременное возмещение суммы платежа, осуществленного Банком по требованию </w:t>
            </w:r>
            <w:proofErr w:type="spellStart"/>
            <w:r w:rsidRPr="00782F27">
              <w:rPr>
                <w:b/>
                <w:lang w:val="en-US" w:eastAsia="x-none"/>
              </w:rPr>
              <w:t>Бенефициара</w:t>
            </w:r>
            <w:proofErr w:type="spellEnd"/>
            <w:r w:rsidRPr="00782F27">
              <w:rPr>
                <w:b/>
                <w:lang w:val="en-US" w:eastAsia="x-none"/>
              </w:rPr>
              <w:t>, и/</w:t>
            </w:r>
            <w:proofErr w:type="spellStart"/>
            <w:r w:rsidRPr="00782F27">
              <w:rPr>
                <w:b/>
                <w:lang w:val="en-US" w:eastAsia="x-none"/>
              </w:rPr>
              <w:t>или</w:t>
            </w:r>
            <w:proofErr w:type="spellEnd"/>
            <w:r w:rsidRPr="00782F27">
              <w:rPr>
                <w:b/>
                <w:lang w:val="en-US" w:eastAsia="x-none"/>
              </w:rPr>
              <w:t xml:space="preserve"> </w:t>
            </w:r>
            <w:proofErr w:type="spellStart"/>
            <w:r w:rsidRPr="00782F27">
              <w:rPr>
                <w:b/>
                <w:lang w:val="en-US" w:eastAsia="x-none"/>
              </w:rPr>
              <w:t>уплату</w:t>
            </w:r>
            <w:proofErr w:type="spellEnd"/>
            <w:r w:rsidRPr="00782F27">
              <w:rPr>
                <w:b/>
                <w:lang w:val="en-US" w:eastAsia="x-none"/>
              </w:rPr>
              <w:t xml:space="preserve"> </w:t>
            </w:r>
            <w:proofErr w:type="spellStart"/>
            <w:r w:rsidRPr="00782F27">
              <w:rPr>
                <w:b/>
                <w:lang w:val="en-US" w:eastAsia="x-none"/>
              </w:rPr>
              <w:t>комиссионных</w:t>
            </w:r>
            <w:proofErr w:type="spellEnd"/>
            <w:r w:rsidRPr="00782F27">
              <w:rPr>
                <w:b/>
                <w:lang w:val="en-US" w:eastAsia="x-none"/>
              </w:rPr>
              <w:t xml:space="preserve"> </w:t>
            </w:r>
            <w:proofErr w:type="spellStart"/>
            <w:r w:rsidRPr="00782F27">
              <w:rPr>
                <w:b/>
                <w:lang w:val="en-US" w:eastAsia="x-none"/>
              </w:rPr>
              <w:t>платежей</w:t>
            </w:r>
            <w:proofErr w:type="spellEnd"/>
          </w:p>
        </w:tc>
        <w:tc>
          <w:tcPr>
            <w:tcW w:w="3180" w:type="dxa"/>
            <w:tcMar>
              <w:top w:w="57" w:type="dxa"/>
              <w:left w:w="85" w:type="dxa"/>
              <w:bottom w:w="57" w:type="dxa"/>
              <w:right w:w="85" w:type="dxa"/>
            </w:tcMar>
          </w:tcPr>
          <w:p w:rsidR="00B73116" w:rsidRPr="00782F27" w:rsidRDefault="00B73116" w:rsidP="00811E5D">
            <w:pPr>
              <w:jc w:val="both"/>
              <w:rPr>
                <w:b/>
                <w:bCs/>
                <w:lang w:eastAsia="x-none"/>
              </w:rPr>
            </w:pPr>
            <w:r w:rsidRPr="00782F27">
              <w:rPr>
                <w:iCs/>
                <w:lang w:eastAsia="x-none"/>
              </w:rPr>
              <w:t>Ключевая ставка Банка России, увеличенная в 2 раза.</w:t>
            </w:r>
          </w:p>
        </w:tc>
      </w:tr>
      <w:tr w:rsidR="00B73116" w:rsidRPr="00782F27" w:rsidTr="00811E5D">
        <w:tc>
          <w:tcPr>
            <w:tcW w:w="6147" w:type="dxa"/>
            <w:gridSpan w:val="2"/>
            <w:tcMar>
              <w:top w:w="57" w:type="dxa"/>
              <w:left w:w="85" w:type="dxa"/>
              <w:bottom w:w="57" w:type="dxa"/>
              <w:right w:w="85" w:type="dxa"/>
            </w:tcMar>
          </w:tcPr>
          <w:p w:rsidR="00B73116" w:rsidRPr="00782F27" w:rsidRDefault="00B73116" w:rsidP="00811E5D">
            <w:pPr>
              <w:jc w:val="both"/>
              <w:rPr>
                <w:b/>
                <w:lang w:eastAsia="x-none"/>
              </w:rPr>
            </w:pPr>
            <w:r w:rsidRPr="00782F27">
              <w:rPr>
                <w:b/>
                <w:lang w:eastAsia="x-none"/>
              </w:rPr>
              <w:t>За перевод расчетов по контракту, обязательства по которому обеспечены гарантийным обязательством Банка, в другой банк без письменного согласия Банка</w:t>
            </w:r>
          </w:p>
        </w:tc>
        <w:tc>
          <w:tcPr>
            <w:tcW w:w="3180" w:type="dxa"/>
            <w:tcMar>
              <w:top w:w="57" w:type="dxa"/>
              <w:left w:w="85" w:type="dxa"/>
              <w:bottom w:w="57" w:type="dxa"/>
              <w:right w:w="85" w:type="dxa"/>
            </w:tcMar>
          </w:tcPr>
          <w:p w:rsidR="00B73116" w:rsidRPr="00782F27" w:rsidRDefault="00B73116" w:rsidP="00811E5D">
            <w:pPr>
              <w:jc w:val="both"/>
              <w:rPr>
                <w:b/>
                <w:bCs/>
                <w:lang w:eastAsia="x-none"/>
              </w:rPr>
            </w:pPr>
            <w:r w:rsidRPr="00782F27">
              <w:rPr>
                <w:bCs/>
                <w:lang w:eastAsia="x-none"/>
              </w:rPr>
              <w:t>в размере 200</w:t>
            </w:r>
            <w:r w:rsidRPr="00782F27">
              <w:rPr>
                <w:bCs/>
                <w:lang w:val="en-US" w:eastAsia="x-none"/>
              </w:rPr>
              <w:t> </w:t>
            </w:r>
            <w:r w:rsidRPr="00782F27">
              <w:rPr>
                <w:bCs/>
                <w:lang w:eastAsia="x-none"/>
              </w:rPr>
              <w:t>000,00 рублей за каждый факт неисполнения соответствующего обязательства</w:t>
            </w:r>
          </w:p>
        </w:tc>
      </w:tr>
      <w:tr w:rsidR="00B73116" w:rsidRPr="00782F27" w:rsidTr="00811E5D">
        <w:tc>
          <w:tcPr>
            <w:tcW w:w="9327" w:type="dxa"/>
            <w:gridSpan w:val="3"/>
            <w:tcMar>
              <w:top w:w="57" w:type="dxa"/>
              <w:left w:w="85" w:type="dxa"/>
              <w:bottom w:w="57" w:type="dxa"/>
              <w:right w:w="85" w:type="dxa"/>
            </w:tcMar>
          </w:tcPr>
          <w:p w:rsidR="00B73116" w:rsidRPr="00782F27" w:rsidRDefault="00B73116" w:rsidP="00811E5D">
            <w:pPr>
              <w:jc w:val="both"/>
              <w:rPr>
                <w:bCs/>
                <w:lang w:eastAsia="x-none"/>
              </w:rPr>
            </w:pPr>
            <w:r w:rsidRPr="00782F27">
              <w:rPr>
                <w:bCs/>
                <w:lang w:eastAsia="x-none"/>
              </w:rPr>
              <w:t>В случае нарушения Принципалом обязательств, указанных в п.8.1.39 Договора, Гарант в том числе имеет право увеличивать размер вознаграждения за выдачу гарантийного обязательства на 1% годовых до устранения нарушения.</w:t>
            </w:r>
          </w:p>
        </w:tc>
      </w:tr>
      <w:tr w:rsidR="00B73116" w:rsidRPr="00782F27" w:rsidTr="00811E5D">
        <w:tc>
          <w:tcPr>
            <w:tcW w:w="9327" w:type="dxa"/>
            <w:gridSpan w:val="3"/>
            <w:tcMar>
              <w:top w:w="57" w:type="dxa"/>
              <w:left w:w="85" w:type="dxa"/>
              <w:bottom w:w="57" w:type="dxa"/>
              <w:right w:w="85" w:type="dxa"/>
            </w:tcMar>
          </w:tcPr>
          <w:p w:rsidR="00B73116" w:rsidRPr="00782F27" w:rsidRDefault="00B73116" w:rsidP="00811E5D">
            <w:pPr>
              <w:jc w:val="both"/>
              <w:rPr>
                <w:bCs/>
                <w:lang w:eastAsia="x-none"/>
              </w:rPr>
            </w:pPr>
            <w:r w:rsidRPr="00782F27">
              <w:rPr>
                <w:bCs/>
                <w:lang w:eastAsia="x-none"/>
              </w:rPr>
              <w:t>Гарант имеет право в одностороннем порядке по своему усмотрению производить увеличение/уменьшение размера платы за вынужденное отвлечение денежных средств и/или размера вознаграждения за выдачу гарантийного обязательства.</w:t>
            </w:r>
          </w:p>
        </w:tc>
      </w:tr>
      <w:tr w:rsidR="00B73116" w:rsidRPr="00782F27" w:rsidTr="00811E5D">
        <w:tc>
          <w:tcPr>
            <w:tcW w:w="9327" w:type="dxa"/>
            <w:gridSpan w:val="3"/>
            <w:tcMar>
              <w:top w:w="57" w:type="dxa"/>
              <w:left w:w="85" w:type="dxa"/>
              <w:bottom w:w="57" w:type="dxa"/>
              <w:right w:w="85" w:type="dxa"/>
            </w:tcMar>
          </w:tcPr>
          <w:p w:rsidR="00B73116" w:rsidRPr="00782F27" w:rsidRDefault="00B73116" w:rsidP="00811E5D">
            <w:pPr>
              <w:jc w:val="both"/>
              <w:rPr>
                <w:bCs/>
                <w:lang w:eastAsia="x-none"/>
              </w:rPr>
            </w:pPr>
            <w:r w:rsidRPr="00782F27">
              <w:rPr>
                <w:bCs/>
                <w:lang w:eastAsia="x-none"/>
              </w:rPr>
              <w:lastRenderedPageBreak/>
              <w:t>В случае нарушения Принципалом своих обязательств по Договору Гарант имеет право в том числе взыскать неустойку в случаях предусмотренных Договором в следующих размерах:</w:t>
            </w:r>
          </w:p>
          <w:p w:rsidR="00B73116" w:rsidRPr="00782F27" w:rsidRDefault="00B73116" w:rsidP="00811E5D">
            <w:pPr>
              <w:jc w:val="both"/>
              <w:rPr>
                <w:bCs/>
                <w:lang w:eastAsia="x-none"/>
              </w:rPr>
            </w:pPr>
            <w:r w:rsidRPr="00782F27">
              <w:rPr>
                <w:bCs/>
                <w:lang w:eastAsia="x-none"/>
              </w:rPr>
              <w:t>- 0,003%</w:t>
            </w:r>
            <w:r w:rsidRPr="00782F27">
              <w:rPr>
                <w:lang w:eastAsia="x-none"/>
              </w:rPr>
              <w:t xml:space="preserve"> </w:t>
            </w:r>
            <w:r w:rsidRPr="00782F27">
              <w:rPr>
                <w:bCs/>
                <w:lang w:eastAsia="x-none"/>
              </w:rPr>
              <w:t>от суммы лимита за каждый случай нарушения Договора;</w:t>
            </w:r>
          </w:p>
          <w:p w:rsidR="00B73116" w:rsidRPr="00782F27" w:rsidRDefault="00B73116" w:rsidP="00811E5D">
            <w:pPr>
              <w:jc w:val="both"/>
              <w:rPr>
                <w:bCs/>
                <w:lang w:eastAsia="x-none"/>
              </w:rPr>
            </w:pPr>
            <w:r w:rsidRPr="00782F27">
              <w:rPr>
                <w:bCs/>
                <w:lang w:eastAsia="x-none"/>
              </w:rPr>
              <w:t>- 200</w:t>
            </w:r>
            <w:r w:rsidRPr="00782F27">
              <w:rPr>
                <w:bCs/>
                <w:lang w:val="en-US" w:eastAsia="x-none"/>
              </w:rPr>
              <w:t> </w:t>
            </w:r>
            <w:r w:rsidRPr="00782F27">
              <w:rPr>
                <w:bCs/>
                <w:lang w:eastAsia="x-none"/>
              </w:rPr>
              <w:t>000,00 рублей за каждый случай нарушения Договора;</w:t>
            </w:r>
          </w:p>
          <w:p w:rsidR="00B73116" w:rsidRPr="00782F27" w:rsidRDefault="00B73116" w:rsidP="00811E5D">
            <w:pPr>
              <w:jc w:val="both"/>
              <w:rPr>
                <w:bCs/>
                <w:lang w:eastAsia="x-none"/>
              </w:rPr>
            </w:pPr>
            <w:r w:rsidRPr="00782F27">
              <w:rPr>
                <w:bCs/>
                <w:lang w:eastAsia="x-none"/>
              </w:rPr>
              <w:t>- 500</w:t>
            </w:r>
            <w:r w:rsidRPr="00782F27">
              <w:rPr>
                <w:bCs/>
                <w:lang w:val="en-US" w:eastAsia="x-none"/>
              </w:rPr>
              <w:t> </w:t>
            </w:r>
            <w:r w:rsidRPr="00782F27">
              <w:rPr>
                <w:bCs/>
                <w:lang w:eastAsia="x-none"/>
              </w:rPr>
              <w:t>000,00 рублей</w:t>
            </w:r>
            <w:r w:rsidRPr="00782F27">
              <w:rPr>
                <w:lang w:eastAsia="x-none"/>
              </w:rPr>
              <w:t xml:space="preserve"> </w:t>
            </w:r>
            <w:r w:rsidRPr="00782F27">
              <w:rPr>
                <w:bCs/>
                <w:lang w:eastAsia="x-none"/>
              </w:rPr>
              <w:t>за каждый случай нарушения Договора;</w:t>
            </w:r>
          </w:p>
          <w:p w:rsidR="00B73116" w:rsidRPr="00782F27" w:rsidRDefault="00B73116" w:rsidP="00811E5D">
            <w:pPr>
              <w:jc w:val="both"/>
              <w:rPr>
                <w:bCs/>
                <w:lang w:eastAsia="x-none"/>
              </w:rPr>
            </w:pPr>
            <w:r w:rsidRPr="00782F27">
              <w:rPr>
                <w:bCs/>
                <w:lang w:eastAsia="x-none"/>
              </w:rPr>
              <w:t xml:space="preserve">- 0,01% от суммы </w:t>
            </w:r>
            <w:proofErr w:type="gramStart"/>
            <w:r w:rsidRPr="00782F27">
              <w:rPr>
                <w:bCs/>
                <w:lang w:eastAsia="x-none"/>
              </w:rPr>
              <w:t>лимита  за</w:t>
            </w:r>
            <w:proofErr w:type="gramEnd"/>
            <w:r w:rsidRPr="00782F27">
              <w:rPr>
                <w:bCs/>
                <w:lang w:eastAsia="x-none"/>
              </w:rPr>
              <w:t xml:space="preserve"> каждый день  просрочки исполнения обязательства;</w:t>
            </w:r>
          </w:p>
          <w:p w:rsidR="00B73116" w:rsidRPr="00782F27" w:rsidRDefault="00B73116" w:rsidP="00811E5D">
            <w:pPr>
              <w:jc w:val="both"/>
              <w:rPr>
                <w:bCs/>
                <w:lang w:eastAsia="x-none"/>
              </w:rPr>
            </w:pPr>
            <w:r w:rsidRPr="00782F27">
              <w:rPr>
                <w:bCs/>
                <w:lang w:eastAsia="x-none"/>
              </w:rPr>
              <w:t>- 0,01 от суммы лимита</w:t>
            </w:r>
            <w:r w:rsidRPr="00782F27">
              <w:rPr>
                <w:lang w:eastAsia="x-none"/>
              </w:rPr>
              <w:t xml:space="preserve"> </w:t>
            </w:r>
            <w:r w:rsidRPr="00782F27">
              <w:rPr>
                <w:bCs/>
                <w:lang w:eastAsia="x-none"/>
              </w:rPr>
              <w:t>за каждый случай нарушения Договора.</w:t>
            </w:r>
          </w:p>
        </w:tc>
      </w:tr>
      <w:tr w:rsidR="00B73116" w:rsidRPr="00782F27" w:rsidTr="00811E5D">
        <w:tc>
          <w:tcPr>
            <w:tcW w:w="9327" w:type="dxa"/>
            <w:gridSpan w:val="3"/>
            <w:tcMar>
              <w:top w:w="57" w:type="dxa"/>
              <w:left w:w="85" w:type="dxa"/>
              <w:bottom w:w="57" w:type="dxa"/>
              <w:right w:w="85" w:type="dxa"/>
            </w:tcMar>
          </w:tcPr>
          <w:p w:rsidR="00B73116" w:rsidRPr="00782F27" w:rsidRDefault="00B73116" w:rsidP="00811E5D">
            <w:pPr>
              <w:jc w:val="both"/>
              <w:rPr>
                <w:bCs/>
                <w:lang w:eastAsia="x-none"/>
              </w:rPr>
            </w:pPr>
            <w:r w:rsidRPr="00782F27">
              <w:rPr>
                <w:bCs/>
                <w:lang w:eastAsia="x-none"/>
              </w:rPr>
              <w:t>Гарант вправе отказаться от обязанности предоставить все Гарантии (или какую(</w:t>
            </w:r>
            <w:proofErr w:type="spellStart"/>
            <w:r w:rsidRPr="00782F27">
              <w:rPr>
                <w:bCs/>
                <w:lang w:eastAsia="x-none"/>
              </w:rPr>
              <w:t>ие</w:t>
            </w:r>
            <w:proofErr w:type="spellEnd"/>
            <w:r w:rsidRPr="00782F27">
              <w:rPr>
                <w:bCs/>
                <w:lang w:eastAsia="x-none"/>
              </w:rPr>
              <w:t xml:space="preserve">)-либо из очередных Гарантий) и закрыть Лимит, указанный в п. 1.1 Договора в случаях нарушения Принципалом </w:t>
            </w:r>
            <w:proofErr w:type="gramStart"/>
            <w:r w:rsidRPr="00782F27">
              <w:rPr>
                <w:bCs/>
                <w:lang w:eastAsia="x-none"/>
              </w:rPr>
              <w:t>обязательств</w:t>
            </w:r>
            <w:proofErr w:type="gramEnd"/>
            <w:r w:rsidRPr="00782F27">
              <w:rPr>
                <w:bCs/>
                <w:lang w:eastAsia="x-none"/>
              </w:rPr>
              <w:t xml:space="preserve"> указанных в п.7.1.9 Договора.</w:t>
            </w:r>
          </w:p>
        </w:tc>
      </w:tr>
    </w:tbl>
    <w:p w:rsidR="00B73116" w:rsidRPr="00782F27" w:rsidRDefault="00B73116" w:rsidP="00B73116">
      <w:pPr>
        <w:rPr>
          <w:u w:val="single"/>
        </w:rPr>
      </w:pPr>
    </w:p>
    <w:p w:rsidR="00B73116" w:rsidRPr="00782F27" w:rsidRDefault="00B73116" w:rsidP="00B73116">
      <w:pPr>
        <w:jc w:val="both"/>
        <w:rPr>
          <w:u w:val="single"/>
        </w:rPr>
      </w:pPr>
      <w:r w:rsidRPr="00782F27">
        <w:t>Договор поручительства и обязательство Поручителя (поручительство) действуют с даты подписания Договора поручительства по «31» декабря 2029 года включительно.</w:t>
      </w:r>
    </w:p>
    <w:p w:rsidR="00B73116" w:rsidRPr="00782F27" w:rsidRDefault="00B73116" w:rsidP="00B73116">
      <w:pPr>
        <w:rPr>
          <w:u w:val="single"/>
        </w:rPr>
      </w:pPr>
    </w:p>
    <w:p w:rsidR="00B73116" w:rsidRPr="00782F27" w:rsidRDefault="00B73116" w:rsidP="00B73116">
      <w:pPr>
        <w:ind w:right="-5"/>
        <w:jc w:val="both"/>
        <w:rPr>
          <w:i/>
        </w:rPr>
      </w:pPr>
      <w:r w:rsidRPr="00782F27">
        <w:rPr>
          <w:i/>
        </w:rPr>
        <w:t xml:space="preserve">Согласно п.6 ст.83 Федерального закона </w:t>
      </w:r>
      <w:r w:rsidRPr="00782F27">
        <w:rPr>
          <w:i/>
          <w:iCs/>
        </w:rPr>
        <w:t>от 26.12.1995 N 208-ФЗ «Об акционерных обществах» указываются сведения о з</w:t>
      </w:r>
      <w:r w:rsidRPr="00782F27">
        <w:rPr>
          <w:i/>
        </w:rPr>
        <w:t>аинтересованных в совершении сделки лицах и основаниях заинтересованности таких лиц:</w:t>
      </w:r>
    </w:p>
    <w:p w:rsidR="00B73116" w:rsidRPr="00782F27" w:rsidRDefault="00B73116" w:rsidP="00B73116">
      <w:pPr>
        <w:autoSpaceDE w:val="0"/>
        <w:autoSpaceDN w:val="0"/>
        <w:adjustRightInd w:val="0"/>
        <w:jc w:val="both"/>
        <w:rPr>
          <w:color w:val="FF0000"/>
        </w:rPr>
      </w:pPr>
    </w:p>
    <w:p w:rsidR="00B73116" w:rsidRPr="00782F27" w:rsidRDefault="00B73116" w:rsidP="00B73116">
      <w:pPr>
        <w:jc w:val="both"/>
      </w:pPr>
      <w:r w:rsidRPr="00782F27">
        <w:t xml:space="preserve">1. косвенно контролирующее лицо Общества - АО «Группа ГМС» (является контролирующим лицом </w:t>
      </w:r>
      <w:proofErr w:type="spellStart"/>
      <w:r w:rsidRPr="00782F27">
        <w:rPr>
          <w:bCs/>
        </w:rPr>
        <w:t>Apollo</w:t>
      </w:r>
      <w:proofErr w:type="spellEnd"/>
      <w:r w:rsidRPr="00782F27">
        <w:rPr>
          <w:bCs/>
        </w:rPr>
        <w:t xml:space="preserve"> </w:t>
      </w:r>
      <w:proofErr w:type="spellStart"/>
      <w:r w:rsidRPr="00782F27">
        <w:rPr>
          <w:bCs/>
        </w:rPr>
        <w:t>Goessnitz</w:t>
      </w:r>
      <w:proofErr w:type="spellEnd"/>
      <w:r w:rsidRPr="00782F27">
        <w:rPr>
          <w:bCs/>
        </w:rPr>
        <w:t xml:space="preserve"> </w:t>
      </w:r>
      <w:proofErr w:type="spellStart"/>
      <w:r w:rsidRPr="00782F27">
        <w:rPr>
          <w:bCs/>
        </w:rPr>
        <w:t>GmbH</w:t>
      </w:r>
      <w:proofErr w:type="spellEnd"/>
      <w:r w:rsidRPr="00782F27">
        <w:rPr>
          <w:bCs/>
        </w:rPr>
        <w:t xml:space="preserve"> (</w:t>
      </w:r>
      <w:proofErr w:type="spellStart"/>
      <w:r w:rsidRPr="00782F27">
        <w:rPr>
          <w:bCs/>
        </w:rPr>
        <w:t>Apollo</w:t>
      </w:r>
      <w:proofErr w:type="spellEnd"/>
      <w:r w:rsidRPr="00782F27">
        <w:rPr>
          <w:bCs/>
        </w:rPr>
        <w:t xml:space="preserve"> </w:t>
      </w:r>
      <w:proofErr w:type="spellStart"/>
      <w:r w:rsidRPr="00782F27">
        <w:rPr>
          <w:bCs/>
        </w:rPr>
        <w:t>Gößnitz</w:t>
      </w:r>
      <w:proofErr w:type="spellEnd"/>
      <w:r w:rsidRPr="00782F27">
        <w:rPr>
          <w:bCs/>
        </w:rPr>
        <w:t xml:space="preserve"> </w:t>
      </w:r>
      <w:proofErr w:type="spellStart"/>
      <w:r w:rsidRPr="00782F27">
        <w:rPr>
          <w:bCs/>
        </w:rPr>
        <w:t>GmbH</w:t>
      </w:r>
      <w:proofErr w:type="spellEnd"/>
      <w:r w:rsidRPr="00782F27">
        <w:rPr>
          <w:bCs/>
        </w:rPr>
        <w:t xml:space="preserve">) </w:t>
      </w:r>
      <w:r w:rsidRPr="00782F27">
        <w:t>- выгодоприобретателя по сделке);</w:t>
      </w:r>
    </w:p>
    <w:p w:rsidR="00B73116" w:rsidRPr="00782F27" w:rsidRDefault="00B73116" w:rsidP="00B73116">
      <w:pPr>
        <w:jc w:val="both"/>
      </w:pPr>
      <w:r w:rsidRPr="00782F27">
        <w:t xml:space="preserve">2. косвенно контролирующее лицо Общества - HMS HYDRAULIC MACHINES &amp; SYSTEMS GROUP PLC (является косвенно контролирующим лицом </w:t>
      </w:r>
      <w:proofErr w:type="spellStart"/>
      <w:r w:rsidRPr="00782F27">
        <w:rPr>
          <w:bCs/>
        </w:rPr>
        <w:t>Apollo</w:t>
      </w:r>
      <w:proofErr w:type="spellEnd"/>
      <w:r w:rsidRPr="00782F27">
        <w:rPr>
          <w:bCs/>
        </w:rPr>
        <w:t xml:space="preserve"> </w:t>
      </w:r>
      <w:proofErr w:type="spellStart"/>
      <w:r w:rsidRPr="00782F27">
        <w:rPr>
          <w:bCs/>
        </w:rPr>
        <w:t>Goessnitz</w:t>
      </w:r>
      <w:proofErr w:type="spellEnd"/>
      <w:r w:rsidRPr="00782F27">
        <w:rPr>
          <w:bCs/>
        </w:rPr>
        <w:t xml:space="preserve"> </w:t>
      </w:r>
      <w:proofErr w:type="spellStart"/>
      <w:r w:rsidRPr="00782F27">
        <w:rPr>
          <w:bCs/>
        </w:rPr>
        <w:t>GmbH</w:t>
      </w:r>
      <w:proofErr w:type="spellEnd"/>
      <w:r w:rsidRPr="00782F27">
        <w:rPr>
          <w:bCs/>
        </w:rPr>
        <w:t xml:space="preserve"> (</w:t>
      </w:r>
      <w:proofErr w:type="spellStart"/>
      <w:r w:rsidRPr="00782F27">
        <w:rPr>
          <w:bCs/>
        </w:rPr>
        <w:t>Apollo</w:t>
      </w:r>
      <w:proofErr w:type="spellEnd"/>
      <w:r w:rsidRPr="00782F27">
        <w:rPr>
          <w:bCs/>
        </w:rPr>
        <w:t xml:space="preserve"> </w:t>
      </w:r>
      <w:proofErr w:type="spellStart"/>
      <w:r w:rsidRPr="00782F27">
        <w:rPr>
          <w:bCs/>
        </w:rPr>
        <w:t>Gößnitz</w:t>
      </w:r>
      <w:proofErr w:type="spellEnd"/>
      <w:r w:rsidRPr="00782F27">
        <w:rPr>
          <w:bCs/>
        </w:rPr>
        <w:t xml:space="preserve"> </w:t>
      </w:r>
      <w:proofErr w:type="spellStart"/>
      <w:r w:rsidRPr="00782F27">
        <w:rPr>
          <w:bCs/>
        </w:rPr>
        <w:t>GmbH</w:t>
      </w:r>
      <w:proofErr w:type="spellEnd"/>
      <w:r w:rsidRPr="00782F27">
        <w:rPr>
          <w:bCs/>
        </w:rPr>
        <w:t xml:space="preserve">) </w:t>
      </w:r>
      <w:r w:rsidRPr="00782F27">
        <w:t>- выгодоприобретателя по сделке).</w:t>
      </w:r>
    </w:p>
    <w:p w:rsidR="00B73116" w:rsidRPr="00782F27" w:rsidRDefault="00B73116" w:rsidP="00B73116">
      <w:pPr>
        <w:autoSpaceDE w:val="0"/>
        <w:autoSpaceDN w:val="0"/>
        <w:adjustRightInd w:val="0"/>
        <w:jc w:val="both"/>
      </w:pPr>
    </w:p>
    <w:p w:rsidR="00055939" w:rsidRPr="00782F27" w:rsidRDefault="00B44650" w:rsidP="00055939">
      <w:pPr>
        <w:overflowPunct w:val="0"/>
        <w:autoSpaceDE w:val="0"/>
        <w:autoSpaceDN w:val="0"/>
        <w:adjustRightInd w:val="0"/>
        <w:spacing w:before="120"/>
        <w:jc w:val="both"/>
        <w:rPr>
          <w:b/>
        </w:rPr>
      </w:pPr>
      <w:r w:rsidRPr="00782F27">
        <w:rPr>
          <w:b/>
        </w:rPr>
        <w:t>Дата составления отчета: «04» июл</w:t>
      </w:r>
      <w:r w:rsidR="005137B5" w:rsidRPr="00782F27">
        <w:rPr>
          <w:b/>
        </w:rPr>
        <w:t>я</w:t>
      </w:r>
      <w:r w:rsidR="00D908D5" w:rsidRPr="00782F27">
        <w:rPr>
          <w:b/>
        </w:rPr>
        <w:t xml:space="preserve"> 2019</w:t>
      </w:r>
      <w:r w:rsidR="00055939" w:rsidRPr="00782F27">
        <w:rPr>
          <w:b/>
        </w:rPr>
        <w:t xml:space="preserve"> года.</w:t>
      </w:r>
    </w:p>
    <w:p w:rsidR="00914E6A" w:rsidRPr="00782F27" w:rsidRDefault="00914E6A" w:rsidP="00055939">
      <w:pPr>
        <w:overflowPunct w:val="0"/>
        <w:autoSpaceDE w:val="0"/>
        <w:autoSpaceDN w:val="0"/>
        <w:adjustRightInd w:val="0"/>
        <w:spacing w:before="120"/>
        <w:jc w:val="both"/>
        <w:rPr>
          <w:b/>
        </w:rPr>
      </w:pPr>
    </w:p>
    <w:p w:rsidR="004A044A" w:rsidRPr="00782F27" w:rsidRDefault="004A044A" w:rsidP="004A044A">
      <w:pPr>
        <w:rPr>
          <w:b/>
        </w:rPr>
      </w:pPr>
      <w:r w:rsidRPr="00782F27">
        <w:rPr>
          <w:b/>
        </w:rPr>
        <w:t>Председатель Собрания</w:t>
      </w:r>
      <w:r w:rsidRPr="00782F27">
        <w:rPr>
          <w:b/>
        </w:rPr>
        <w:tab/>
      </w:r>
      <w:r w:rsidRPr="00782F27">
        <w:rPr>
          <w:b/>
        </w:rPr>
        <w:tab/>
      </w:r>
      <w:r w:rsidRPr="00782F27">
        <w:rPr>
          <w:b/>
        </w:rPr>
        <w:tab/>
        <w:t>(подпись)</w:t>
      </w:r>
      <w:r w:rsidRPr="00782F27">
        <w:rPr>
          <w:b/>
        </w:rPr>
        <w:tab/>
      </w:r>
      <w:r w:rsidRPr="00782F27">
        <w:rPr>
          <w:b/>
        </w:rPr>
        <w:tab/>
      </w:r>
      <w:r w:rsidRPr="00782F27">
        <w:rPr>
          <w:b/>
        </w:rPr>
        <w:tab/>
        <w:t>А.Е. Новиков</w:t>
      </w:r>
    </w:p>
    <w:p w:rsidR="004A044A" w:rsidRPr="00782F27" w:rsidRDefault="004A044A" w:rsidP="004A044A">
      <w:pPr>
        <w:rPr>
          <w:b/>
        </w:rPr>
      </w:pPr>
    </w:p>
    <w:p w:rsidR="004A044A" w:rsidRPr="00782F27" w:rsidRDefault="004A044A" w:rsidP="004A044A">
      <w:pPr>
        <w:rPr>
          <w:b/>
        </w:rPr>
      </w:pPr>
    </w:p>
    <w:p w:rsidR="004A044A" w:rsidRPr="00782F27" w:rsidRDefault="00782F27" w:rsidP="004A044A">
      <w:pPr>
        <w:rPr>
          <w:b/>
        </w:rPr>
      </w:pPr>
      <w:r>
        <w:rPr>
          <w:b/>
        </w:rPr>
        <w:t>Секретарь Собрания</w:t>
      </w:r>
      <w:r>
        <w:rPr>
          <w:b/>
        </w:rPr>
        <w:tab/>
      </w:r>
      <w:r>
        <w:rPr>
          <w:b/>
        </w:rPr>
        <w:tab/>
      </w:r>
      <w:r>
        <w:rPr>
          <w:b/>
        </w:rPr>
        <w:tab/>
      </w:r>
      <w:r w:rsidR="004A044A" w:rsidRPr="00782F27">
        <w:rPr>
          <w:b/>
        </w:rPr>
        <w:t>(подпись)</w:t>
      </w:r>
      <w:r w:rsidR="004A044A" w:rsidRPr="00782F27">
        <w:rPr>
          <w:b/>
        </w:rPr>
        <w:tab/>
      </w:r>
      <w:r w:rsidR="004A044A" w:rsidRPr="00782F27">
        <w:rPr>
          <w:b/>
        </w:rPr>
        <w:tab/>
        <w:t xml:space="preserve">             Н. В. Нугаева</w:t>
      </w:r>
    </w:p>
    <w:p w:rsidR="004A044A" w:rsidRPr="00782F27" w:rsidRDefault="004A044A" w:rsidP="004A044A">
      <w:pPr>
        <w:jc w:val="both"/>
        <w:rPr>
          <w:b/>
        </w:rPr>
      </w:pPr>
    </w:p>
    <w:p w:rsidR="00B44650" w:rsidRPr="00782F27" w:rsidRDefault="004A044A" w:rsidP="004A044A">
      <w:pPr>
        <w:rPr>
          <w:b/>
        </w:rPr>
      </w:pPr>
      <w:r w:rsidRPr="00782F27">
        <w:rPr>
          <w:b/>
        </w:rPr>
        <w:t xml:space="preserve">                                                                    </w:t>
      </w:r>
    </w:p>
    <w:p w:rsidR="004A044A" w:rsidRPr="00782F27" w:rsidRDefault="004A044A" w:rsidP="00B44650">
      <w:pPr>
        <w:ind w:left="4248" w:firstLine="708"/>
      </w:pPr>
      <w:r w:rsidRPr="00782F27">
        <w:t xml:space="preserve">М.П. </w:t>
      </w:r>
    </w:p>
    <w:p w:rsidR="004A044A" w:rsidRPr="00782F27" w:rsidRDefault="004A044A" w:rsidP="004A044A"/>
    <w:p w:rsidR="004A044A" w:rsidRPr="00782F27" w:rsidRDefault="004A044A" w:rsidP="004A044A">
      <w:bookmarkStart w:id="0" w:name="_GoBack"/>
      <w:bookmarkEnd w:id="0"/>
    </w:p>
    <w:sectPr w:rsidR="004A044A" w:rsidRPr="00782F27"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21" w:rsidRDefault="00BB0121" w:rsidP="00055939">
      <w:r>
        <w:separator/>
      </w:r>
    </w:p>
  </w:endnote>
  <w:endnote w:type="continuationSeparator" w:id="0">
    <w:p w:rsidR="00BB0121" w:rsidRDefault="00BB0121"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2E55F9">
          <w:rPr>
            <w:noProof/>
          </w:rPr>
          <w:t>2</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21" w:rsidRDefault="00BB0121" w:rsidP="00055939">
      <w:r>
        <w:separator/>
      </w:r>
    </w:p>
  </w:footnote>
  <w:footnote w:type="continuationSeparator" w:id="0">
    <w:p w:rsidR="00BB0121" w:rsidRDefault="00BB0121"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EB54C6E"/>
    <w:multiLevelType w:val="hybridMultilevel"/>
    <w:tmpl w:val="BE6EF158"/>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0DBE"/>
    <w:rsid w:val="00047538"/>
    <w:rsid w:val="00055939"/>
    <w:rsid w:val="00056547"/>
    <w:rsid w:val="00056AD4"/>
    <w:rsid w:val="000613CF"/>
    <w:rsid w:val="000804CC"/>
    <w:rsid w:val="000A01D8"/>
    <w:rsid w:val="000A7F39"/>
    <w:rsid w:val="000C0BD8"/>
    <w:rsid w:val="000E69A5"/>
    <w:rsid w:val="000F552D"/>
    <w:rsid w:val="00153DE3"/>
    <w:rsid w:val="00171E01"/>
    <w:rsid w:val="001733E9"/>
    <w:rsid w:val="00177E83"/>
    <w:rsid w:val="001812D3"/>
    <w:rsid w:val="00183711"/>
    <w:rsid w:val="001E45E3"/>
    <w:rsid w:val="001F0B97"/>
    <w:rsid w:val="00217243"/>
    <w:rsid w:val="00225980"/>
    <w:rsid w:val="002264ED"/>
    <w:rsid w:val="002302EB"/>
    <w:rsid w:val="00255530"/>
    <w:rsid w:val="00261F77"/>
    <w:rsid w:val="002719D3"/>
    <w:rsid w:val="00276B08"/>
    <w:rsid w:val="002955E6"/>
    <w:rsid w:val="002961A7"/>
    <w:rsid w:val="002969D0"/>
    <w:rsid w:val="002B2C83"/>
    <w:rsid w:val="002E55F9"/>
    <w:rsid w:val="002E6436"/>
    <w:rsid w:val="002E77C8"/>
    <w:rsid w:val="00310CE2"/>
    <w:rsid w:val="0036029C"/>
    <w:rsid w:val="00372EFA"/>
    <w:rsid w:val="00375A39"/>
    <w:rsid w:val="00384DC8"/>
    <w:rsid w:val="003A093B"/>
    <w:rsid w:val="003D5C01"/>
    <w:rsid w:val="003D738D"/>
    <w:rsid w:val="003D7EB0"/>
    <w:rsid w:val="003E2ACD"/>
    <w:rsid w:val="003E2DA6"/>
    <w:rsid w:val="003F6962"/>
    <w:rsid w:val="004017EE"/>
    <w:rsid w:val="004146C5"/>
    <w:rsid w:val="004409AF"/>
    <w:rsid w:val="00452457"/>
    <w:rsid w:val="0045602B"/>
    <w:rsid w:val="0046229F"/>
    <w:rsid w:val="004A044A"/>
    <w:rsid w:val="004A275C"/>
    <w:rsid w:val="004D5CB1"/>
    <w:rsid w:val="004D67E8"/>
    <w:rsid w:val="004F2039"/>
    <w:rsid w:val="005137B5"/>
    <w:rsid w:val="00551B39"/>
    <w:rsid w:val="00562602"/>
    <w:rsid w:val="00562C5E"/>
    <w:rsid w:val="00582FEE"/>
    <w:rsid w:val="0058745D"/>
    <w:rsid w:val="005A0835"/>
    <w:rsid w:val="005D3318"/>
    <w:rsid w:val="005E13F3"/>
    <w:rsid w:val="005F2617"/>
    <w:rsid w:val="005F6993"/>
    <w:rsid w:val="00600667"/>
    <w:rsid w:val="00610F75"/>
    <w:rsid w:val="00693176"/>
    <w:rsid w:val="006B279F"/>
    <w:rsid w:val="006D5BC8"/>
    <w:rsid w:val="006F2E90"/>
    <w:rsid w:val="006F7FE4"/>
    <w:rsid w:val="007116E6"/>
    <w:rsid w:val="00733922"/>
    <w:rsid w:val="00742591"/>
    <w:rsid w:val="00772678"/>
    <w:rsid w:val="00782F27"/>
    <w:rsid w:val="007A180F"/>
    <w:rsid w:val="007C03D0"/>
    <w:rsid w:val="007C1FAF"/>
    <w:rsid w:val="00814F0B"/>
    <w:rsid w:val="00815B37"/>
    <w:rsid w:val="00830BEA"/>
    <w:rsid w:val="00846B3D"/>
    <w:rsid w:val="00866EBB"/>
    <w:rsid w:val="00871516"/>
    <w:rsid w:val="00884EAF"/>
    <w:rsid w:val="008A0259"/>
    <w:rsid w:val="008C2591"/>
    <w:rsid w:val="008C666F"/>
    <w:rsid w:val="008F55AF"/>
    <w:rsid w:val="009129CB"/>
    <w:rsid w:val="00914E6A"/>
    <w:rsid w:val="00935066"/>
    <w:rsid w:val="00941CE0"/>
    <w:rsid w:val="009460C1"/>
    <w:rsid w:val="00952A92"/>
    <w:rsid w:val="009909A7"/>
    <w:rsid w:val="009919D2"/>
    <w:rsid w:val="009C496D"/>
    <w:rsid w:val="009C593C"/>
    <w:rsid w:val="009F4ADE"/>
    <w:rsid w:val="00A142E2"/>
    <w:rsid w:val="00A41B09"/>
    <w:rsid w:val="00A43D2D"/>
    <w:rsid w:val="00A459EE"/>
    <w:rsid w:val="00A46818"/>
    <w:rsid w:val="00A65AE4"/>
    <w:rsid w:val="00A76C33"/>
    <w:rsid w:val="00AE7C5C"/>
    <w:rsid w:val="00B0582C"/>
    <w:rsid w:val="00B44650"/>
    <w:rsid w:val="00B73116"/>
    <w:rsid w:val="00B73444"/>
    <w:rsid w:val="00B84D5F"/>
    <w:rsid w:val="00B93253"/>
    <w:rsid w:val="00BB0121"/>
    <w:rsid w:val="00BB4BC9"/>
    <w:rsid w:val="00BC1296"/>
    <w:rsid w:val="00C259A4"/>
    <w:rsid w:val="00C4254A"/>
    <w:rsid w:val="00C8609F"/>
    <w:rsid w:val="00C9616F"/>
    <w:rsid w:val="00CB6C42"/>
    <w:rsid w:val="00CC0247"/>
    <w:rsid w:val="00CC422A"/>
    <w:rsid w:val="00CC5281"/>
    <w:rsid w:val="00CD4043"/>
    <w:rsid w:val="00CF4280"/>
    <w:rsid w:val="00D219D1"/>
    <w:rsid w:val="00D377A6"/>
    <w:rsid w:val="00D37B1E"/>
    <w:rsid w:val="00D522EB"/>
    <w:rsid w:val="00D52460"/>
    <w:rsid w:val="00D7182C"/>
    <w:rsid w:val="00D758CB"/>
    <w:rsid w:val="00D77B7B"/>
    <w:rsid w:val="00D82897"/>
    <w:rsid w:val="00D843A6"/>
    <w:rsid w:val="00D87119"/>
    <w:rsid w:val="00D908D5"/>
    <w:rsid w:val="00DD167B"/>
    <w:rsid w:val="00DE403E"/>
    <w:rsid w:val="00DE5DEA"/>
    <w:rsid w:val="00E2019E"/>
    <w:rsid w:val="00E40748"/>
    <w:rsid w:val="00E710C3"/>
    <w:rsid w:val="00E955E4"/>
    <w:rsid w:val="00EB674B"/>
    <w:rsid w:val="00EC653A"/>
    <w:rsid w:val="00F02408"/>
    <w:rsid w:val="00F15066"/>
    <w:rsid w:val="00F709F8"/>
    <w:rsid w:val="00FA3C30"/>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183711"/>
    <w:pPr>
      <w:ind w:left="720"/>
      <w:contextualSpacing/>
    </w:pPr>
  </w:style>
  <w:style w:type="paragraph" w:styleId="af">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преамбула"/>
    <w:basedOn w:val="a0"/>
    <w:rsid w:val="00DD167B"/>
    <w:pPr>
      <w:widowControl w:val="0"/>
      <w:spacing w:before="120" w:line="300" w:lineRule="exact"/>
      <w:jc w:val="both"/>
    </w:pPr>
    <w:rPr>
      <w:rFonts w:ascii="Arial" w:hAnsi="Arial"/>
      <w:color w:val="000000"/>
      <w:szCs w:val="20"/>
    </w:rPr>
  </w:style>
  <w:style w:type="character" w:styleId="af1">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79</cp:revision>
  <dcterms:created xsi:type="dcterms:W3CDTF">2018-06-15T04:20:00Z</dcterms:created>
  <dcterms:modified xsi:type="dcterms:W3CDTF">2019-07-05T05:22:00Z</dcterms:modified>
</cp:coreProperties>
</file>