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782F27" w:rsidRDefault="00055939" w:rsidP="00055939">
      <w:pPr>
        <w:overflowPunct w:val="0"/>
        <w:autoSpaceDE w:val="0"/>
        <w:autoSpaceDN w:val="0"/>
        <w:adjustRightInd w:val="0"/>
        <w:jc w:val="center"/>
        <w:rPr>
          <w:b/>
        </w:rPr>
      </w:pPr>
      <w:r w:rsidRPr="00782F27">
        <w:rPr>
          <w:b/>
        </w:rPr>
        <w:t>ОТЧЕТ ОБ ИТОГАХ ГОЛОСОВАНИЯ</w:t>
      </w:r>
    </w:p>
    <w:p w:rsidR="00055939" w:rsidRPr="00782F27" w:rsidRDefault="00846B3D" w:rsidP="00055939">
      <w:pPr>
        <w:overflowPunct w:val="0"/>
        <w:autoSpaceDE w:val="0"/>
        <w:autoSpaceDN w:val="0"/>
        <w:adjustRightInd w:val="0"/>
        <w:jc w:val="center"/>
        <w:rPr>
          <w:b/>
        </w:rPr>
      </w:pPr>
      <w:r w:rsidRPr="00782F27">
        <w:rPr>
          <w:b/>
        </w:rPr>
        <w:t xml:space="preserve">НА ВНЕОЧЕРЕДНОМ </w:t>
      </w:r>
      <w:r w:rsidR="00055939" w:rsidRPr="00782F27">
        <w:rPr>
          <w:b/>
        </w:rPr>
        <w:t xml:space="preserve">ОБЩЕМ СОБРАНИИ АКЦИОНЕРОВ  </w:t>
      </w:r>
    </w:p>
    <w:p w:rsidR="00055939" w:rsidRPr="00782F27" w:rsidRDefault="00055939" w:rsidP="00055939">
      <w:pPr>
        <w:pStyle w:val="a4"/>
        <w:rPr>
          <w:b/>
          <w:szCs w:val="24"/>
        </w:rPr>
      </w:pPr>
      <w:r w:rsidRPr="00782F27">
        <w:rPr>
          <w:b/>
          <w:szCs w:val="24"/>
        </w:rPr>
        <w:t>АКЦИОНЕРНОГО ОБЩЕСТВА «СИБНЕФТЕМАШ»</w:t>
      </w:r>
    </w:p>
    <w:p w:rsidR="00055939" w:rsidRPr="00782F27" w:rsidRDefault="00055939" w:rsidP="00055939">
      <w:pPr>
        <w:pStyle w:val="a4"/>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 xml:space="preserve">Акционерное общество «Сибнефтемаш» </w:t>
            </w:r>
          </w:p>
          <w:p w:rsidR="00055939" w:rsidRPr="00782F27" w:rsidRDefault="00055939">
            <w:pPr>
              <w:jc w:val="both"/>
            </w:pPr>
            <w:r w:rsidRPr="00782F27">
              <w:t xml:space="preserve">(далее АО «Сибнефтемаш» или «Общество») </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Место нахождения </w:t>
            </w:r>
          </w:p>
          <w:p w:rsidR="00055939" w:rsidRPr="00782F27" w:rsidRDefault="00055939">
            <w:r w:rsidRPr="00782F27">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625511, РФ, Тюменская область, Тюменский район, 15 километр Тобольского тракта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846B3D">
            <w:pPr>
              <w:jc w:val="both"/>
            </w:pPr>
            <w:r w:rsidRPr="00782F27">
              <w:t>внеочередное</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4B69D1">
            <w:pPr>
              <w:jc w:val="both"/>
              <w:rPr>
                <w:b/>
              </w:rPr>
            </w:pPr>
            <w:r>
              <w:rPr>
                <w:b/>
              </w:rPr>
              <w:t>«20» августа</w:t>
            </w:r>
            <w:r w:rsidR="00261F77" w:rsidRPr="00782F27">
              <w:rPr>
                <w:b/>
              </w:rPr>
              <w:t xml:space="preserve"> </w:t>
            </w:r>
            <w:r w:rsidR="009F4ADE" w:rsidRPr="00782F27">
              <w:rPr>
                <w:b/>
              </w:rPr>
              <w:t>201</w:t>
            </w:r>
            <w:r w:rsidR="00C4254A" w:rsidRPr="00782F27">
              <w:rPr>
                <w:b/>
              </w:rPr>
              <w:t>9</w:t>
            </w:r>
            <w:r w:rsidR="00055939" w:rsidRPr="00782F27">
              <w:rPr>
                <w:b/>
              </w:rPr>
              <w:t xml:space="preserve"> года</w:t>
            </w:r>
          </w:p>
        </w:tc>
      </w:tr>
      <w:tr w:rsidR="00055939" w:rsidRPr="00782F27"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C4254A">
            <w:pPr>
              <w:jc w:val="both"/>
            </w:pPr>
            <w:r w:rsidRPr="00782F27">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Pr="00782F27" w:rsidRDefault="00055939">
            <w:pPr>
              <w:jc w:val="both"/>
            </w:pPr>
          </w:p>
          <w:p w:rsidR="00055939" w:rsidRPr="00782F27" w:rsidRDefault="00055939">
            <w:pPr>
              <w:jc w:val="both"/>
            </w:pPr>
          </w:p>
          <w:p w:rsidR="00055939" w:rsidRPr="00782F27" w:rsidRDefault="004B69D1">
            <w:pPr>
              <w:jc w:val="both"/>
            </w:pPr>
            <w:r>
              <w:t>«29» июл</w:t>
            </w:r>
            <w:r w:rsidR="00A76C33" w:rsidRPr="00782F27">
              <w:t>я</w:t>
            </w:r>
            <w:r w:rsidR="009F4ADE" w:rsidRPr="00782F27">
              <w:t xml:space="preserve"> 2019</w:t>
            </w:r>
            <w:r w:rsidR="00055939" w:rsidRPr="00782F27">
              <w:t xml:space="preserve"> года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4B69D1">
            <w:pPr>
              <w:jc w:val="both"/>
              <w:rPr>
                <w:b/>
              </w:rPr>
            </w:pPr>
            <w:r>
              <w:rPr>
                <w:b/>
              </w:rPr>
              <w:t xml:space="preserve">«20» августа </w:t>
            </w:r>
            <w:r w:rsidR="00CC0247" w:rsidRPr="00782F27">
              <w:rPr>
                <w:b/>
              </w:rPr>
              <w:t xml:space="preserve">2019 </w:t>
            </w:r>
            <w:r w:rsidR="00846B3D" w:rsidRPr="00782F27">
              <w:rPr>
                <w:b/>
              </w:rPr>
              <w:t>года, 17</w:t>
            </w:r>
            <w:r w:rsidR="00055939" w:rsidRPr="00782F27">
              <w:rPr>
                <w:b/>
              </w:rPr>
              <w:t xml:space="preserve"> ч. 00 мин. </w:t>
            </w:r>
          </w:p>
        </w:tc>
      </w:tr>
    </w:tbl>
    <w:p w:rsidR="00055939" w:rsidRPr="00782F27" w:rsidRDefault="00055939" w:rsidP="00055939">
      <w:pPr>
        <w:ind w:firstLine="720"/>
        <w:jc w:val="both"/>
      </w:pPr>
    </w:p>
    <w:p w:rsidR="00055939" w:rsidRPr="00782F27" w:rsidRDefault="00055939" w:rsidP="00055939">
      <w:pPr>
        <w:jc w:val="both"/>
        <w:rPr>
          <w:bCs/>
        </w:rPr>
      </w:pPr>
      <w:r w:rsidRPr="00782F27">
        <w:rPr>
          <w:b/>
          <w:bCs/>
        </w:rPr>
        <w:t>Председатель собрания</w:t>
      </w:r>
      <w:r w:rsidRPr="00782F27">
        <w:rPr>
          <w:bCs/>
        </w:rPr>
        <w:t>: Новиков Андрей Евгеньевич.</w:t>
      </w:r>
    </w:p>
    <w:p w:rsidR="00055939" w:rsidRPr="00782F27" w:rsidRDefault="00055939" w:rsidP="00055939">
      <w:pPr>
        <w:jc w:val="both"/>
        <w:rPr>
          <w:bCs/>
        </w:rPr>
      </w:pPr>
      <w:r w:rsidRPr="00782F27">
        <w:rPr>
          <w:b/>
          <w:bCs/>
        </w:rPr>
        <w:t>Секретарь собрания</w:t>
      </w:r>
      <w:r w:rsidR="00CC0247" w:rsidRPr="00782F27">
        <w:rPr>
          <w:bCs/>
        </w:rPr>
        <w:t>: Нугаева Наталья Викторовна</w:t>
      </w:r>
      <w:r w:rsidRPr="00782F27">
        <w:rPr>
          <w:bCs/>
        </w:rPr>
        <w:t>.</w:t>
      </w:r>
    </w:p>
    <w:p w:rsidR="00055939" w:rsidRPr="00782F27" w:rsidRDefault="00055939" w:rsidP="00055939">
      <w:pPr>
        <w:tabs>
          <w:tab w:val="left" w:pos="3261"/>
          <w:tab w:val="left" w:pos="10704"/>
        </w:tabs>
        <w:spacing w:before="120"/>
        <w:jc w:val="both"/>
      </w:pPr>
      <w:r w:rsidRPr="00782F27">
        <w:rPr>
          <w:b/>
        </w:rPr>
        <w:t>Счетная комиссия:</w:t>
      </w:r>
      <w:r w:rsidRPr="00782F27">
        <w:t xml:space="preserve"> Специализированный регистратор Акционерное общество «Новый регистратор» (Тюменский филиал).</w:t>
      </w:r>
    </w:p>
    <w:p w:rsidR="00055939" w:rsidRPr="00782F27" w:rsidRDefault="00055939" w:rsidP="00055939">
      <w:pPr>
        <w:tabs>
          <w:tab w:val="left" w:pos="3261"/>
          <w:tab w:val="left" w:pos="10704"/>
        </w:tabs>
        <w:spacing w:before="120"/>
        <w:jc w:val="both"/>
      </w:pPr>
      <w:r w:rsidRPr="00782F27">
        <w:rPr>
          <w:b/>
        </w:rPr>
        <w:t>Место нахождения регистратора:</w:t>
      </w:r>
      <w:r w:rsidRPr="00782F27">
        <w:rPr>
          <w:color w:val="000000"/>
          <w:shd w:val="clear" w:color="auto" w:fill="FFFFFF"/>
        </w:rPr>
        <w:t xml:space="preserve"> </w:t>
      </w:r>
      <w:r w:rsidRPr="00782F27">
        <w:t xml:space="preserve">107996, РФ, г. Москва, ул. </w:t>
      </w:r>
      <w:proofErr w:type="spellStart"/>
      <w:r w:rsidRPr="00782F27">
        <w:t>Буженинова</w:t>
      </w:r>
      <w:proofErr w:type="spellEnd"/>
      <w:r w:rsidRPr="00782F27">
        <w:t>, д. 30, стр. 1 (место нахождение Тюменского филиала: 625019, РФ, Тюменская область, г. Тюмень, ул. Республики, д. 211 А).</w:t>
      </w:r>
    </w:p>
    <w:p w:rsidR="00055939" w:rsidRPr="00782F27" w:rsidRDefault="00055939" w:rsidP="00055939">
      <w:pPr>
        <w:tabs>
          <w:tab w:val="left" w:pos="3261"/>
          <w:tab w:val="left" w:pos="10704"/>
        </w:tabs>
        <w:spacing w:before="60"/>
        <w:jc w:val="both"/>
      </w:pPr>
      <w:r w:rsidRPr="00782F27">
        <w:rPr>
          <w:b/>
        </w:rPr>
        <w:t>Уполномоченное лицо регистратора:</w:t>
      </w:r>
      <w:r w:rsidRPr="00782F27">
        <w:t xml:space="preserve"> Токмянина</w:t>
      </w:r>
      <w:r w:rsidR="00815B37" w:rsidRPr="00782F27">
        <w:t xml:space="preserve"> Вера Львовна (доверенность </w:t>
      </w:r>
      <w:r w:rsidR="004409AF" w:rsidRPr="00782F27">
        <w:t>№ 195 от 29.12.2018</w:t>
      </w:r>
      <w:r w:rsidRPr="00782F27">
        <w:t xml:space="preserve"> г. сроком действия до </w:t>
      </w:r>
      <w:r w:rsidR="004409AF" w:rsidRPr="00782F27">
        <w:t>31.12.2019</w:t>
      </w:r>
      <w:r w:rsidRPr="00782F27">
        <w:t xml:space="preserve"> г.). </w:t>
      </w:r>
    </w:p>
    <w:p w:rsidR="00055939" w:rsidRPr="00782F27" w:rsidRDefault="00055939" w:rsidP="00055939">
      <w:pPr>
        <w:jc w:val="both"/>
      </w:pPr>
    </w:p>
    <w:p w:rsidR="000E69A5" w:rsidRPr="00782F27" w:rsidRDefault="00055939" w:rsidP="000E69A5">
      <w:pPr>
        <w:jc w:val="both"/>
      </w:pPr>
      <w:r w:rsidRPr="00782F27">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782F27" w:rsidRDefault="00B93253" w:rsidP="00B93253">
      <w:pPr>
        <w:jc w:val="both"/>
      </w:pPr>
      <w:r w:rsidRPr="00782F27">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782F27">
        <w:rPr>
          <w:lang w:val="en-US"/>
        </w:rPr>
        <w:t>F</w:t>
      </w:r>
      <w:r w:rsidRPr="00782F27">
        <w:t>, дата регистрации выпуска: 20.02.2012 г.; акции привилегированные именные бездокументарные, государственный регистрационный номер выпуска: 2-02-00230-</w:t>
      </w:r>
      <w:r w:rsidRPr="00782F27">
        <w:rPr>
          <w:lang w:val="en-US"/>
        </w:rPr>
        <w:t>F</w:t>
      </w:r>
      <w:r w:rsidRPr="00782F27">
        <w:t xml:space="preserve">, дата регистрации выпуска: 20.02.2012 г. </w:t>
      </w:r>
    </w:p>
    <w:p w:rsidR="003F6962" w:rsidRPr="00782F27" w:rsidRDefault="003F6962" w:rsidP="000E69A5">
      <w:pPr>
        <w:jc w:val="both"/>
      </w:pPr>
    </w:p>
    <w:p w:rsidR="003F6962" w:rsidRPr="00782F27" w:rsidRDefault="003F6962" w:rsidP="000E69A5">
      <w:pPr>
        <w:jc w:val="both"/>
        <w:sectPr w:rsidR="003F6962" w:rsidRPr="00782F27">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782F27" w:rsidTr="00E2019E">
        <w:trPr>
          <w:trHeight w:val="615"/>
        </w:trPr>
        <w:tc>
          <w:tcPr>
            <w:tcW w:w="9350" w:type="dxa"/>
            <w:gridSpan w:val="2"/>
          </w:tcPr>
          <w:p w:rsidR="00056AD4" w:rsidRPr="00782F27" w:rsidRDefault="00056AD4" w:rsidP="00CF12E6">
            <w:pPr>
              <w:jc w:val="both"/>
            </w:pPr>
          </w:p>
          <w:p w:rsidR="00056AD4" w:rsidRPr="00782F27" w:rsidRDefault="00056AD4" w:rsidP="00CF12E6">
            <w:pPr>
              <w:jc w:val="both"/>
              <w:rPr>
                <w:b/>
              </w:rPr>
            </w:pPr>
            <w:r w:rsidRPr="00782F27">
              <w:rPr>
                <w:b/>
              </w:rPr>
              <w:t>Инфор</w:t>
            </w:r>
            <w:r w:rsidR="008C2591" w:rsidRPr="00782F27">
              <w:rPr>
                <w:b/>
              </w:rPr>
              <w:t>мация о наличии кворума по вопросу</w:t>
            </w:r>
            <w:r w:rsidRPr="00782F27">
              <w:rPr>
                <w:b/>
              </w:rPr>
              <w:t xml:space="preserve"> повестки дня, определенного по данным участия в общем собрании акционеров - владельцев голосующих акций:</w:t>
            </w:r>
          </w:p>
          <w:p w:rsidR="00056AD4" w:rsidRPr="00782F27" w:rsidRDefault="00056AD4" w:rsidP="00CF12E6">
            <w:pPr>
              <w:jc w:val="both"/>
            </w:pPr>
          </w:p>
        </w:tc>
      </w:tr>
      <w:tr w:rsidR="00056AD4" w:rsidRPr="00782F27" w:rsidTr="00E2019E">
        <w:trPr>
          <w:trHeight w:val="1138"/>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включенные в список лиц, имевших право на участ</w:t>
            </w:r>
            <w:r w:rsidR="008C2591" w:rsidRPr="00782F27">
              <w:t>ие в общем собрании, по вопросу</w:t>
            </w:r>
            <w:r w:rsidRPr="00782F27">
              <w:t xml:space="preserve"> повестки дня общего собрания:</w:t>
            </w:r>
          </w:p>
          <w:p w:rsidR="00056AD4" w:rsidRPr="00782F27" w:rsidRDefault="00056AD4" w:rsidP="00CF12E6">
            <w:pPr>
              <w:keepNext/>
              <w:spacing w:before="40" w:after="40"/>
              <w:jc w:val="both"/>
            </w:pPr>
          </w:p>
        </w:tc>
        <w:tc>
          <w:tcPr>
            <w:tcW w:w="2879" w:type="dxa"/>
            <w:shd w:val="clear" w:color="auto" w:fill="auto"/>
          </w:tcPr>
          <w:p w:rsidR="00056AD4" w:rsidRPr="00782F27" w:rsidRDefault="00056AD4" w:rsidP="00CF12E6">
            <w:pPr>
              <w:keepNext/>
              <w:spacing w:before="40" w:after="40"/>
              <w:jc w:val="right"/>
              <w:rPr>
                <w:lang w:val="en-US"/>
              </w:rPr>
            </w:pPr>
            <w:r w:rsidRPr="00782F27">
              <w:rPr>
                <w:lang w:val="en-US"/>
              </w:rPr>
              <w:t>1 778 656</w:t>
            </w:r>
          </w:p>
          <w:p w:rsidR="00056AD4" w:rsidRPr="00782F27" w:rsidRDefault="00056AD4" w:rsidP="00CF12E6">
            <w:pPr>
              <w:keepNext/>
              <w:spacing w:before="40" w:after="40"/>
              <w:jc w:val="right"/>
              <w:rPr>
                <w:lang w:val="en-US"/>
              </w:rPr>
            </w:pPr>
          </w:p>
        </w:tc>
      </w:tr>
      <w:tr w:rsidR="00056AD4" w:rsidRPr="00782F27" w:rsidTr="00E2019E">
        <w:trPr>
          <w:trHeight w:val="801"/>
        </w:trPr>
        <w:tc>
          <w:tcPr>
            <w:tcW w:w="6471" w:type="dxa"/>
            <w:shd w:val="clear" w:color="auto" w:fill="auto"/>
          </w:tcPr>
          <w:p w:rsidR="00056AD4" w:rsidRPr="00782F27" w:rsidRDefault="00056AD4" w:rsidP="00CF12E6">
            <w:pPr>
              <w:keepNext/>
              <w:spacing w:before="40" w:after="40"/>
              <w:jc w:val="both"/>
            </w:pPr>
            <w:r w:rsidRPr="00782F27">
              <w:t>Число голосов, приходившихся на голос</w:t>
            </w:r>
            <w:r w:rsidR="008C2591" w:rsidRPr="00782F27">
              <w:t>ующие акции общества по вопросу</w:t>
            </w:r>
            <w:r w:rsidRPr="00782F27">
              <w:t xml:space="preserve"> повестки дня общего собрани</w:t>
            </w:r>
            <w:r w:rsidR="004409AF" w:rsidRPr="00782F27">
              <w:t xml:space="preserve">я, определенное с учетом п. 4.24 </w:t>
            </w:r>
            <w:r w:rsidRPr="00782F27">
              <w:t xml:space="preserve">  Положения Банка России «Об общих собраниях акционеров» № 660-П от 16.11.2018 г.</w:t>
            </w:r>
          </w:p>
        </w:tc>
        <w:tc>
          <w:tcPr>
            <w:tcW w:w="2879" w:type="dxa"/>
            <w:shd w:val="clear" w:color="auto" w:fill="auto"/>
          </w:tcPr>
          <w:p w:rsidR="00056AD4" w:rsidRPr="00782F27" w:rsidRDefault="00056AD4" w:rsidP="00CF12E6">
            <w:pPr>
              <w:keepNext/>
              <w:spacing w:before="40" w:after="40"/>
              <w:jc w:val="right"/>
            </w:pPr>
            <w:r w:rsidRPr="00782F27">
              <w:t>1 778 656</w:t>
            </w:r>
          </w:p>
          <w:p w:rsidR="00056AD4" w:rsidRPr="00782F27" w:rsidRDefault="00056AD4" w:rsidP="00CF12E6">
            <w:pPr>
              <w:keepNext/>
              <w:spacing w:before="40" w:after="40"/>
              <w:jc w:val="right"/>
            </w:pPr>
          </w:p>
        </w:tc>
      </w:tr>
      <w:tr w:rsidR="00056AD4" w:rsidRPr="00782F27" w:rsidTr="00E2019E">
        <w:trPr>
          <w:trHeight w:val="840"/>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принявшие участие в общем</w:t>
            </w:r>
            <w:r w:rsidR="008C2591" w:rsidRPr="00782F27">
              <w:t xml:space="preserve"> собрании, по вопросу </w:t>
            </w:r>
            <w:r w:rsidRPr="00782F27">
              <w:t>повестки дня общего собрания:</w:t>
            </w:r>
          </w:p>
        </w:tc>
        <w:tc>
          <w:tcPr>
            <w:tcW w:w="2879" w:type="dxa"/>
            <w:shd w:val="clear" w:color="auto" w:fill="auto"/>
          </w:tcPr>
          <w:p w:rsidR="00056AD4" w:rsidRPr="00782F27" w:rsidRDefault="00056AD4" w:rsidP="00CF12E6">
            <w:pPr>
              <w:keepNext/>
              <w:spacing w:before="40" w:after="40"/>
              <w:jc w:val="right"/>
            </w:pPr>
            <w:r w:rsidRPr="00782F27">
              <w:rPr>
                <w:lang w:val="en-US"/>
              </w:rPr>
              <w:t xml:space="preserve">1 774 </w:t>
            </w:r>
            <w:r w:rsidRPr="00782F27">
              <w:t>348</w:t>
            </w:r>
          </w:p>
          <w:p w:rsidR="00056AD4" w:rsidRPr="00782F27" w:rsidRDefault="00056AD4" w:rsidP="00CF12E6">
            <w:pPr>
              <w:keepNext/>
              <w:spacing w:before="40" w:after="40"/>
              <w:jc w:val="right"/>
              <w:rPr>
                <w:lang w:val="en-US"/>
              </w:rPr>
            </w:pPr>
          </w:p>
        </w:tc>
      </w:tr>
      <w:tr w:rsidR="00056AD4" w:rsidRPr="00782F27" w:rsidTr="00E2019E">
        <w:trPr>
          <w:trHeight w:val="615"/>
        </w:trPr>
        <w:tc>
          <w:tcPr>
            <w:tcW w:w="6471" w:type="dxa"/>
            <w:shd w:val="clear" w:color="auto" w:fill="auto"/>
          </w:tcPr>
          <w:p w:rsidR="00056AD4" w:rsidRPr="00782F27" w:rsidRDefault="00056AD4" w:rsidP="00CF12E6">
            <w:pPr>
              <w:keepNext/>
              <w:spacing w:before="40" w:after="40"/>
              <w:rPr>
                <w:b/>
                <w:bCs/>
              </w:rPr>
            </w:pPr>
            <w:r w:rsidRPr="00782F27">
              <w:rPr>
                <w:b/>
                <w:bCs/>
              </w:rPr>
              <w:t>Наличие кворума:</w:t>
            </w:r>
          </w:p>
        </w:tc>
        <w:tc>
          <w:tcPr>
            <w:tcW w:w="2879" w:type="dxa"/>
            <w:shd w:val="clear" w:color="auto" w:fill="auto"/>
          </w:tcPr>
          <w:p w:rsidR="00056AD4" w:rsidRPr="00782F27" w:rsidRDefault="00056AD4" w:rsidP="00CF12E6">
            <w:pPr>
              <w:keepNext/>
              <w:spacing w:before="40" w:after="40"/>
              <w:jc w:val="right"/>
              <w:rPr>
                <w:b/>
                <w:bCs/>
                <w:lang w:val="en-US"/>
              </w:rPr>
            </w:pPr>
            <w:r w:rsidRPr="00782F27">
              <w:rPr>
                <w:b/>
                <w:bCs/>
              </w:rPr>
              <w:t xml:space="preserve">     </w:t>
            </w:r>
            <w:proofErr w:type="spellStart"/>
            <w:proofErr w:type="gramStart"/>
            <w:r w:rsidRPr="00782F27">
              <w:rPr>
                <w:b/>
                <w:bCs/>
                <w:lang w:val="en-US"/>
              </w:rPr>
              <w:t>есть</w:t>
            </w:r>
            <w:proofErr w:type="spellEnd"/>
            <w:proofErr w:type="gramEnd"/>
            <w:r w:rsidRPr="00782F27">
              <w:rPr>
                <w:b/>
                <w:bCs/>
                <w:lang w:val="en-US"/>
              </w:rPr>
              <w:t xml:space="preserve"> (99,76%)</w:t>
            </w:r>
          </w:p>
          <w:p w:rsidR="00056AD4" w:rsidRPr="00782F27" w:rsidRDefault="00056AD4" w:rsidP="00CF12E6">
            <w:pPr>
              <w:keepNext/>
              <w:spacing w:before="40" w:after="40"/>
              <w:jc w:val="right"/>
              <w:rPr>
                <w:b/>
                <w:bCs/>
                <w:lang w:val="en-US"/>
              </w:rPr>
            </w:pPr>
          </w:p>
        </w:tc>
      </w:tr>
    </w:tbl>
    <w:p w:rsidR="00E2019E" w:rsidRPr="00E2019E" w:rsidRDefault="00E2019E" w:rsidP="00E2019E">
      <w:pPr>
        <w:jc w:val="both"/>
        <w:rPr>
          <w:b/>
        </w:rPr>
      </w:pPr>
    </w:p>
    <w:p w:rsidR="00E2019E" w:rsidRPr="00E2019E" w:rsidRDefault="00E2019E" w:rsidP="00E2019E">
      <w:pPr>
        <w:jc w:val="both"/>
        <w:rPr>
          <w:b/>
        </w:rPr>
      </w:pPr>
      <w:r w:rsidRPr="00E2019E">
        <w:rPr>
          <w:b/>
        </w:rPr>
        <w:t xml:space="preserve">Информация о наличии кворума по </w:t>
      </w:r>
      <w:r w:rsidRPr="00E2019E">
        <w:rPr>
          <w:b/>
          <w:bCs/>
        </w:rPr>
        <w:t>вопрос</w:t>
      </w:r>
      <w:r w:rsidRPr="00782F27">
        <w:rPr>
          <w:b/>
          <w:bCs/>
        </w:rPr>
        <w:t>у</w:t>
      </w:r>
      <w:r w:rsidRPr="00E2019E">
        <w:rPr>
          <w:b/>
        </w:rPr>
        <w:t xml:space="preserve"> повестки дня, определенного по данным участия в общем собрании акционеров - владельцев голосующих акци</w:t>
      </w:r>
      <w:r w:rsidR="00CF4280" w:rsidRPr="00782F27">
        <w:rPr>
          <w:b/>
        </w:rPr>
        <w:t>й, не заинтересованных в сделке</w:t>
      </w:r>
      <w:r w:rsidRPr="00E2019E">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E2019E" w:rsidTr="00811E5D">
        <w:trPr>
          <w:cantSplit/>
        </w:trPr>
        <w:tc>
          <w:tcPr>
            <w:tcW w:w="7520" w:type="dxa"/>
            <w:shd w:val="clear" w:color="auto" w:fill="auto"/>
          </w:tcPr>
          <w:p w:rsidR="00E2019E" w:rsidRPr="00E2019E" w:rsidRDefault="00E2019E" w:rsidP="00E2019E">
            <w:pPr>
              <w:keepNext/>
              <w:spacing w:before="40" w:after="40"/>
              <w:jc w:val="both"/>
            </w:pPr>
            <w:r w:rsidRPr="00E2019E">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E2019E" w:rsidRDefault="00E2019E" w:rsidP="00E2019E">
            <w:pPr>
              <w:keepNext/>
              <w:spacing w:before="40" w:after="40"/>
              <w:jc w:val="right"/>
              <w:rPr>
                <w:lang w:val="en-US"/>
              </w:rPr>
            </w:pPr>
            <w:r w:rsidRPr="00E2019E">
              <w:rPr>
                <w:lang w:val="en-US"/>
              </w:rPr>
              <w:t>20 382</w:t>
            </w:r>
          </w:p>
        </w:tc>
      </w:tr>
      <w:tr w:rsidR="00E2019E" w:rsidRPr="00E2019E" w:rsidTr="00811E5D">
        <w:trPr>
          <w:cantSplit/>
        </w:trPr>
        <w:tc>
          <w:tcPr>
            <w:tcW w:w="7520" w:type="dxa"/>
            <w:shd w:val="clear" w:color="auto" w:fill="auto"/>
          </w:tcPr>
          <w:p w:rsidR="00E2019E" w:rsidRPr="00E2019E" w:rsidRDefault="00E2019E" w:rsidP="00E2019E">
            <w:pPr>
              <w:keepNext/>
              <w:spacing w:before="40" w:after="40"/>
              <w:rPr>
                <w:b/>
                <w:bCs/>
              </w:rPr>
            </w:pPr>
            <w:r w:rsidRPr="00E2019E">
              <w:rPr>
                <w:b/>
                <w:bCs/>
              </w:rPr>
              <w:t>Наличие кворума:</w:t>
            </w:r>
          </w:p>
        </w:tc>
        <w:tc>
          <w:tcPr>
            <w:tcW w:w="1830" w:type="dxa"/>
            <w:shd w:val="clear" w:color="auto" w:fill="auto"/>
            <w:vAlign w:val="bottom"/>
          </w:tcPr>
          <w:p w:rsidR="00E2019E" w:rsidRPr="00E2019E" w:rsidRDefault="00E2019E" w:rsidP="00E2019E">
            <w:pPr>
              <w:keepNext/>
              <w:spacing w:before="40" w:after="40"/>
              <w:jc w:val="center"/>
              <w:rPr>
                <w:b/>
                <w:bCs/>
                <w:lang w:val="en-US"/>
              </w:rPr>
            </w:pPr>
            <w:r w:rsidRPr="00E2019E">
              <w:rPr>
                <w:b/>
                <w:bCs/>
              </w:rPr>
              <w:t xml:space="preserve">                  </w:t>
            </w:r>
            <w:r w:rsidRPr="00E2019E">
              <w:rPr>
                <w:b/>
                <w:bCs/>
                <w:lang w:val="en-US"/>
              </w:rPr>
              <w:t>***</w:t>
            </w:r>
          </w:p>
        </w:tc>
      </w:tr>
    </w:tbl>
    <w:p w:rsidR="00E2019E" w:rsidRPr="00E2019E" w:rsidRDefault="00E2019E" w:rsidP="00E2019E">
      <w:pPr>
        <w:jc w:val="both"/>
        <w:rPr>
          <w:i/>
        </w:rPr>
      </w:pPr>
      <w:r w:rsidRPr="00E2019E">
        <w:rPr>
          <w:i/>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E2019E" w:rsidRDefault="00E2019E" w:rsidP="00E2019E">
      <w:pPr>
        <w:autoSpaceDE w:val="0"/>
        <w:autoSpaceDN w:val="0"/>
        <w:adjustRightInd w:val="0"/>
        <w:jc w:val="both"/>
        <w:rPr>
          <w:i/>
        </w:rPr>
      </w:pPr>
      <w:r w:rsidRPr="00E2019E">
        <w:t xml:space="preserve">*** </w:t>
      </w:r>
      <w:r w:rsidRPr="00E2019E">
        <w:rPr>
          <w:i/>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E2019E" w:rsidRDefault="00E2019E" w:rsidP="00E2019E">
      <w:pPr>
        <w:jc w:val="both"/>
      </w:pPr>
      <w:r w:rsidRPr="00782F27">
        <w:t>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w:t>
      </w:r>
      <w:r w:rsidRPr="00E2019E">
        <w:t xml:space="preserve"> </w:t>
      </w:r>
      <w:r w:rsidRPr="00782F27">
        <w:t xml:space="preserve">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E2019E" w:rsidRDefault="00E2019E" w:rsidP="00E2019E">
      <w:pPr>
        <w:jc w:val="both"/>
      </w:pPr>
      <w:r w:rsidRPr="00E2019E">
        <w:t xml:space="preserve">Подконтрольное лицо заинтересованных лиц по сделкам Общества согласно вопросу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w:t>
      </w:r>
      <w:r w:rsidRPr="00E2019E">
        <w:lastRenderedPageBreak/>
        <w:t>указанных сделок, а также акционеров – подконтрольных заинтересованным лицам по указанным сделкам, нет.</w:t>
      </w:r>
    </w:p>
    <w:p w:rsidR="00E2019E" w:rsidRPr="00E2019E" w:rsidRDefault="00E2019E" w:rsidP="00E2019E">
      <w:pPr>
        <w:overflowPunct w:val="0"/>
        <w:autoSpaceDE w:val="0"/>
        <w:autoSpaceDN w:val="0"/>
        <w:adjustRightInd w:val="0"/>
        <w:spacing w:before="60"/>
        <w:ind w:firstLine="708"/>
        <w:jc w:val="both"/>
      </w:pPr>
      <w:r w:rsidRPr="00E2019E">
        <w:t>Кворум для проведения соб</w:t>
      </w:r>
      <w:r w:rsidR="004B69D1">
        <w:t>рания и принятия решения по</w:t>
      </w:r>
      <w:r w:rsidRPr="00E2019E">
        <w:t xml:space="preserve"> в</w:t>
      </w:r>
      <w:r w:rsidR="004B69D1">
        <w:t>опросу</w:t>
      </w:r>
      <w:r w:rsidRPr="00E2019E">
        <w:t xml:space="preserve"> повестки дня имелся.</w:t>
      </w:r>
    </w:p>
    <w:p w:rsidR="00056AD4" w:rsidRPr="00782F27" w:rsidRDefault="00056AD4" w:rsidP="00056AD4">
      <w:pPr>
        <w:jc w:val="both"/>
      </w:pPr>
    </w:p>
    <w:p w:rsidR="00055939" w:rsidRPr="00782F27" w:rsidRDefault="00055939" w:rsidP="00055939">
      <w:pPr>
        <w:spacing w:before="60"/>
        <w:jc w:val="center"/>
        <w:rPr>
          <w:b/>
          <w:u w:val="single"/>
        </w:rPr>
      </w:pPr>
      <w:r w:rsidRPr="00782F27">
        <w:rPr>
          <w:b/>
          <w:u w:val="single"/>
        </w:rPr>
        <w:t>Повестка дня</w:t>
      </w:r>
      <w:r w:rsidR="008C2591" w:rsidRPr="00782F27">
        <w:rPr>
          <w:b/>
          <w:u w:val="single"/>
        </w:rPr>
        <w:t xml:space="preserve"> внеочередного</w:t>
      </w:r>
      <w:r w:rsidR="00384DC8" w:rsidRPr="00782F27">
        <w:rPr>
          <w:b/>
          <w:u w:val="single"/>
        </w:rPr>
        <w:t xml:space="preserve"> </w:t>
      </w:r>
      <w:r w:rsidRPr="00782F27">
        <w:rPr>
          <w:b/>
          <w:u w:val="single"/>
        </w:rPr>
        <w:t>общего собрания акционеров:</w:t>
      </w:r>
    </w:p>
    <w:p w:rsidR="00225980" w:rsidRPr="00782F27" w:rsidRDefault="00225980" w:rsidP="00225980">
      <w:pPr>
        <w:pStyle w:val="af"/>
        <w:jc w:val="both"/>
      </w:pPr>
    </w:p>
    <w:p w:rsidR="004B69D1" w:rsidRPr="004B69D1" w:rsidRDefault="00056AD4" w:rsidP="004B69D1">
      <w:pPr>
        <w:pStyle w:val="af"/>
        <w:jc w:val="both"/>
        <w:rPr>
          <w:bCs/>
        </w:rPr>
      </w:pPr>
      <w:r w:rsidRPr="00782F27">
        <w:t xml:space="preserve">1). </w:t>
      </w:r>
      <w:r w:rsidR="004B69D1">
        <w:rPr>
          <w:b/>
          <w:sz w:val="22"/>
          <w:szCs w:val="22"/>
        </w:rPr>
        <w:t>О согласии на совершение Обществом крупной сделки, в совершении которой имеется заинтересованность, - заключение Обществом с Банком ВТБ (ПАО) договора поручительства по обязательствам принципала ООО «</w:t>
      </w:r>
      <w:proofErr w:type="spellStart"/>
      <w:r w:rsidR="004B69D1">
        <w:rPr>
          <w:b/>
          <w:sz w:val="22"/>
          <w:szCs w:val="22"/>
        </w:rPr>
        <w:t>ЦПСиК</w:t>
      </w:r>
      <w:proofErr w:type="spellEnd"/>
      <w:r w:rsidR="004B69D1">
        <w:rPr>
          <w:b/>
          <w:sz w:val="22"/>
          <w:szCs w:val="22"/>
        </w:rPr>
        <w:t>».</w:t>
      </w:r>
    </w:p>
    <w:p w:rsidR="00D219D1" w:rsidRPr="00782F27" w:rsidRDefault="00D219D1" w:rsidP="00D219D1">
      <w:pPr>
        <w:tabs>
          <w:tab w:val="left" w:pos="993"/>
        </w:tabs>
        <w:jc w:val="both"/>
      </w:pPr>
    </w:p>
    <w:p w:rsidR="00055939" w:rsidRPr="00782F27" w:rsidRDefault="00055939" w:rsidP="00055939">
      <w:pPr>
        <w:jc w:val="center"/>
        <w:rPr>
          <w:b/>
          <w:u w:val="single"/>
        </w:rPr>
      </w:pPr>
      <w:r w:rsidRPr="00782F27">
        <w:rPr>
          <w:b/>
          <w:u w:val="single"/>
        </w:rPr>
        <w:t>Результат</w:t>
      </w:r>
      <w:r w:rsidR="008C2591" w:rsidRPr="00782F27">
        <w:rPr>
          <w:b/>
          <w:u w:val="single"/>
        </w:rPr>
        <w:t xml:space="preserve"> голосования и формулировка решения</w:t>
      </w:r>
    </w:p>
    <w:p w:rsidR="00055939" w:rsidRPr="00782F27" w:rsidRDefault="008C2591" w:rsidP="00055939">
      <w:pPr>
        <w:jc w:val="center"/>
        <w:rPr>
          <w:b/>
          <w:u w:val="single"/>
        </w:rPr>
      </w:pPr>
      <w:r w:rsidRPr="00782F27">
        <w:rPr>
          <w:b/>
          <w:u w:val="single"/>
        </w:rPr>
        <w:t>по вопросу повестки дня</w:t>
      </w:r>
      <w:r w:rsidR="00055939" w:rsidRPr="00782F27">
        <w:rPr>
          <w:b/>
          <w:u w:val="single"/>
        </w:rPr>
        <w:t xml:space="preserve"> общего собрания акционеров Общества:</w:t>
      </w:r>
    </w:p>
    <w:p w:rsidR="000A7F39" w:rsidRPr="00782F27" w:rsidRDefault="000A7F39" w:rsidP="00055939">
      <w:pPr>
        <w:jc w:val="center"/>
        <w:rPr>
          <w:b/>
        </w:rPr>
      </w:pPr>
    </w:p>
    <w:p w:rsidR="00FA3C30" w:rsidRPr="00782F27" w:rsidRDefault="00055939" w:rsidP="00FA3C30">
      <w:pPr>
        <w:jc w:val="both"/>
        <w:rPr>
          <w:b/>
          <w:caps/>
        </w:rPr>
      </w:pPr>
      <w:r w:rsidRPr="00782F27">
        <w:rPr>
          <w:b/>
          <w:caps/>
        </w:rPr>
        <w:t xml:space="preserve">По вопросу № 1: </w:t>
      </w:r>
    </w:p>
    <w:p w:rsidR="004B69D1" w:rsidRDefault="004B69D1" w:rsidP="004B69D1">
      <w:pPr>
        <w:jc w:val="both"/>
        <w:rPr>
          <w:b/>
          <w:sz w:val="22"/>
          <w:szCs w:val="22"/>
        </w:rPr>
      </w:pPr>
      <w:r>
        <w:rPr>
          <w:b/>
          <w:sz w:val="22"/>
          <w:szCs w:val="22"/>
        </w:rPr>
        <w:t>О согласии на совершение Обществом крупной сделки, в совершении которой имеется заинтересованность, - заключение Обществом с Банком ВТБ (ПАО) договора поручительства по обязательствам принципала ООО «</w:t>
      </w:r>
      <w:proofErr w:type="spellStart"/>
      <w:r>
        <w:rPr>
          <w:b/>
          <w:sz w:val="22"/>
          <w:szCs w:val="22"/>
        </w:rPr>
        <w:t>ЦПСиК</w:t>
      </w:r>
      <w:proofErr w:type="spellEnd"/>
      <w:r>
        <w:rPr>
          <w:b/>
          <w:sz w:val="22"/>
          <w:szCs w:val="22"/>
        </w:rPr>
        <w:t>».</w:t>
      </w:r>
    </w:p>
    <w:p w:rsidR="00CF4280" w:rsidRPr="00782F27" w:rsidRDefault="00CF4280" w:rsidP="00CF4280">
      <w:pPr>
        <w:tabs>
          <w:tab w:val="left" w:pos="993"/>
        </w:tabs>
        <w:jc w:val="both"/>
      </w:pPr>
    </w:p>
    <w:p w:rsidR="00CF4280" w:rsidRPr="00CF4280" w:rsidRDefault="00CF4280" w:rsidP="00CF4280">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CF4280" w:rsidRDefault="00CF4280" w:rsidP="00CF4280">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Сделка с заинтересованностью</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100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bl>
    <w:p w:rsidR="00CF4280" w:rsidRPr="00782F27" w:rsidRDefault="00CF4280" w:rsidP="00CF4280">
      <w:pPr>
        <w:ind w:firstLine="708"/>
        <w:jc w:val="both"/>
        <w:rPr>
          <w:b/>
          <w:color w:val="1F4E79"/>
        </w:rPr>
      </w:pPr>
    </w:p>
    <w:p w:rsidR="00CF4280" w:rsidRPr="00782F27" w:rsidRDefault="00CF4280" w:rsidP="00BB4BC9">
      <w:pPr>
        <w:tabs>
          <w:tab w:val="left" w:pos="9000"/>
        </w:tabs>
        <w:rPr>
          <w:b/>
          <w:bCs/>
        </w:rPr>
      </w:pPr>
    </w:p>
    <w:p w:rsidR="00153DE3" w:rsidRPr="00782F27" w:rsidRDefault="00153DE3" w:rsidP="00153DE3">
      <w:pPr>
        <w:tabs>
          <w:tab w:val="left" w:pos="9000"/>
        </w:tabs>
        <w:rPr>
          <w:b/>
          <w:bCs/>
        </w:rPr>
      </w:pPr>
      <w:r w:rsidRPr="00782F27">
        <w:rPr>
          <w:b/>
          <w:bCs/>
        </w:rPr>
        <w:t>Кворум для принятия решения по данному вопросу имеется.</w:t>
      </w:r>
    </w:p>
    <w:p w:rsidR="00D77B7B" w:rsidRPr="00782F27" w:rsidRDefault="00D77B7B" w:rsidP="00153DE3">
      <w:pPr>
        <w:tabs>
          <w:tab w:val="left" w:pos="9000"/>
        </w:tabs>
        <w:jc w:val="center"/>
      </w:pPr>
    </w:p>
    <w:p w:rsidR="00153DE3" w:rsidRPr="00782F27" w:rsidRDefault="00153DE3" w:rsidP="00153DE3">
      <w:pPr>
        <w:tabs>
          <w:tab w:val="left" w:pos="9000"/>
        </w:tabs>
        <w:jc w:val="center"/>
        <w:rPr>
          <w:b/>
          <w:bCs/>
        </w:rPr>
      </w:pPr>
      <w:r w:rsidRPr="00782F27">
        <w:rPr>
          <w:b/>
          <w:bCs/>
        </w:rPr>
        <w:t>Принятое решение:</w:t>
      </w:r>
    </w:p>
    <w:p w:rsidR="00D77B7B" w:rsidRPr="00782F27" w:rsidRDefault="00D77B7B" w:rsidP="00153DE3">
      <w:pPr>
        <w:tabs>
          <w:tab w:val="left" w:pos="9000"/>
        </w:tabs>
        <w:jc w:val="center"/>
        <w:rPr>
          <w:b/>
          <w:bCs/>
        </w:rPr>
      </w:pPr>
    </w:p>
    <w:p w:rsidR="007D0249" w:rsidRDefault="007D0249" w:rsidP="007D0249">
      <w:pPr>
        <w:jc w:val="both"/>
        <w:rPr>
          <w:sz w:val="22"/>
          <w:szCs w:val="22"/>
        </w:rPr>
      </w:pPr>
      <w:r>
        <w:rPr>
          <w:sz w:val="22"/>
          <w:szCs w:val="22"/>
        </w:rPr>
        <w:t>Предоставить согласие на совершение Обществом крупной сделки, в совершении которой имеется заинтересованность – заключение Обществом с Банком ВТБ (ПАО) договора поручительства по обязательствам принципала ООО «</w:t>
      </w:r>
      <w:proofErr w:type="spellStart"/>
      <w:r>
        <w:rPr>
          <w:sz w:val="22"/>
          <w:szCs w:val="22"/>
        </w:rPr>
        <w:t>ЦПСиК</w:t>
      </w:r>
      <w:proofErr w:type="spellEnd"/>
      <w:r>
        <w:rPr>
          <w:sz w:val="22"/>
          <w:szCs w:val="22"/>
        </w:rPr>
        <w:t>» по генеральному соглашению о выдаче гарантий между с Банком ВТБ (ПАО) и ООО «</w:t>
      </w:r>
      <w:proofErr w:type="spellStart"/>
      <w:r>
        <w:rPr>
          <w:sz w:val="22"/>
          <w:szCs w:val="22"/>
        </w:rPr>
        <w:t>ЦПСиК</w:t>
      </w:r>
      <w:proofErr w:type="spellEnd"/>
      <w:r>
        <w:rPr>
          <w:sz w:val="22"/>
          <w:szCs w:val="22"/>
        </w:rPr>
        <w:t xml:space="preserve">» (далее - Генеральное соглашение) на следующих существенных условиях. </w:t>
      </w:r>
    </w:p>
    <w:p w:rsidR="007D0249" w:rsidRDefault="007D0249" w:rsidP="007D0249">
      <w:pPr>
        <w:jc w:val="both"/>
        <w:rPr>
          <w:sz w:val="22"/>
          <w:szCs w:val="22"/>
          <w:u w:val="single"/>
        </w:rPr>
      </w:pPr>
    </w:p>
    <w:p w:rsidR="007D0249" w:rsidRDefault="007D0249" w:rsidP="007D0249">
      <w:pPr>
        <w:jc w:val="both"/>
        <w:rPr>
          <w:sz w:val="22"/>
          <w:szCs w:val="22"/>
          <w:u w:val="single"/>
        </w:rPr>
      </w:pPr>
      <w:r>
        <w:rPr>
          <w:sz w:val="22"/>
          <w:szCs w:val="22"/>
          <w:u w:val="single"/>
        </w:rPr>
        <w:t>Стороны сделки:</w:t>
      </w:r>
    </w:p>
    <w:p w:rsidR="007D0249" w:rsidRDefault="007D0249" w:rsidP="007D0249">
      <w:pPr>
        <w:jc w:val="both"/>
        <w:rPr>
          <w:sz w:val="22"/>
          <w:szCs w:val="22"/>
        </w:rPr>
      </w:pPr>
      <w:r>
        <w:rPr>
          <w:sz w:val="22"/>
          <w:szCs w:val="22"/>
        </w:rPr>
        <w:t>Гарант/Банк: Банк ВТБ (ПАО)</w:t>
      </w:r>
    </w:p>
    <w:p w:rsidR="007D0249" w:rsidRDefault="007D0249" w:rsidP="007D0249">
      <w:pPr>
        <w:jc w:val="both"/>
        <w:rPr>
          <w:sz w:val="22"/>
          <w:szCs w:val="22"/>
        </w:rPr>
      </w:pPr>
      <w:r>
        <w:rPr>
          <w:sz w:val="22"/>
          <w:szCs w:val="22"/>
        </w:rPr>
        <w:t>Поручитель: АО «Сибнефтемаш»</w:t>
      </w:r>
    </w:p>
    <w:p w:rsidR="007D0249" w:rsidRDefault="007D0249" w:rsidP="007D0249">
      <w:pPr>
        <w:jc w:val="both"/>
        <w:rPr>
          <w:sz w:val="22"/>
          <w:szCs w:val="22"/>
        </w:rPr>
      </w:pPr>
      <w:r>
        <w:rPr>
          <w:sz w:val="22"/>
          <w:szCs w:val="22"/>
        </w:rPr>
        <w:t>Принципал / выгодоприобретатель: ООО «</w:t>
      </w:r>
      <w:proofErr w:type="spellStart"/>
      <w:r>
        <w:rPr>
          <w:sz w:val="22"/>
          <w:szCs w:val="22"/>
        </w:rPr>
        <w:t>ЦПСиК</w:t>
      </w:r>
      <w:proofErr w:type="spellEnd"/>
      <w:r>
        <w:rPr>
          <w:sz w:val="22"/>
          <w:szCs w:val="22"/>
        </w:rPr>
        <w:t>»</w:t>
      </w:r>
      <w:r>
        <w:rPr>
          <w:bCs/>
          <w:sz w:val="22"/>
          <w:szCs w:val="22"/>
        </w:rPr>
        <w:t>.</w:t>
      </w:r>
    </w:p>
    <w:p w:rsidR="007D0249" w:rsidRDefault="007D0249" w:rsidP="007D0249">
      <w:pPr>
        <w:jc w:val="both"/>
        <w:rPr>
          <w:sz w:val="22"/>
          <w:szCs w:val="22"/>
          <w:u w:val="single"/>
        </w:rPr>
      </w:pPr>
    </w:p>
    <w:p w:rsidR="007D0249" w:rsidRDefault="007D0249" w:rsidP="007D0249">
      <w:pPr>
        <w:jc w:val="both"/>
        <w:rPr>
          <w:sz w:val="22"/>
          <w:szCs w:val="22"/>
          <w:u w:val="single"/>
        </w:rPr>
      </w:pPr>
      <w:r>
        <w:rPr>
          <w:sz w:val="22"/>
          <w:szCs w:val="22"/>
          <w:u w:val="single"/>
        </w:rPr>
        <w:t>Основания отнесения сделки к крупной:</w:t>
      </w:r>
    </w:p>
    <w:p w:rsidR="007D0249" w:rsidRDefault="007D0249" w:rsidP="007D0249">
      <w:pPr>
        <w:jc w:val="both"/>
        <w:rPr>
          <w:b/>
          <w:sz w:val="22"/>
          <w:szCs w:val="22"/>
        </w:rPr>
      </w:pPr>
      <w:r>
        <w:rPr>
          <w:b/>
          <w:sz w:val="22"/>
          <w:szCs w:val="22"/>
        </w:rPr>
        <w:t xml:space="preserve">Цена сделки определена в размере 35 000 000 000,00 (Тридцать пять миллиардов) рублей Российской Федерации, что составляет 788,6313 % от балансовой стоимости активов Поручителя по состоянию на 30.06.2019 г. </w:t>
      </w:r>
    </w:p>
    <w:p w:rsidR="007D0249" w:rsidRDefault="007D0249" w:rsidP="007D0249">
      <w:pPr>
        <w:jc w:val="both"/>
        <w:rPr>
          <w:b/>
          <w:sz w:val="22"/>
          <w:szCs w:val="22"/>
        </w:rPr>
      </w:pPr>
      <w:r>
        <w:rPr>
          <w:i/>
          <w:sz w:val="22"/>
          <w:szCs w:val="22"/>
        </w:rPr>
        <w:t xml:space="preserve">Согласно п.1 ст.78 Федерального закона </w:t>
      </w:r>
      <w:r>
        <w:rPr>
          <w:i/>
          <w:iCs/>
          <w:sz w:val="22"/>
          <w:szCs w:val="22"/>
        </w:rPr>
        <w:t>от 26.12.1995 N 208-ФЗ «Об акционерных обществах»</w:t>
      </w:r>
      <w:r>
        <w:rPr>
          <w:i/>
          <w:sz w:val="22"/>
          <w:szCs w:val="22"/>
        </w:rPr>
        <w:t>, сделка для Общества является крупной.</w:t>
      </w:r>
    </w:p>
    <w:p w:rsidR="007D0249" w:rsidRDefault="007D0249" w:rsidP="007D0249">
      <w:pPr>
        <w:rPr>
          <w:sz w:val="22"/>
          <w:szCs w:val="22"/>
          <w:u w:val="single"/>
        </w:rPr>
      </w:pPr>
    </w:p>
    <w:p w:rsidR="007D0249" w:rsidRDefault="007D0249" w:rsidP="007D0249">
      <w:pPr>
        <w:rPr>
          <w:sz w:val="22"/>
          <w:szCs w:val="22"/>
          <w:u w:val="single"/>
        </w:rPr>
      </w:pPr>
      <w:r>
        <w:rPr>
          <w:sz w:val="22"/>
          <w:szCs w:val="22"/>
          <w:u w:val="single"/>
        </w:rPr>
        <w:t>Существенные условия сделки:</w:t>
      </w:r>
    </w:p>
    <w:p w:rsidR="007D0249" w:rsidRDefault="007D0249" w:rsidP="007D0249">
      <w:pPr>
        <w:pStyle w:val="af"/>
        <w:jc w:val="both"/>
        <w:rPr>
          <w:sz w:val="22"/>
          <w:szCs w:val="22"/>
        </w:rPr>
      </w:pPr>
      <w:r>
        <w:rPr>
          <w:sz w:val="22"/>
          <w:szCs w:val="22"/>
        </w:rPr>
        <w:t>Условия Генерального соглашения, к которому заключается Договор поручительства:</w:t>
      </w:r>
    </w:p>
    <w:p w:rsidR="007D0249" w:rsidRDefault="007D0249" w:rsidP="007D0249">
      <w:pPr>
        <w:pStyle w:val="af"/>
        <w:jc w:val="both"/>
        <w:rPr>
          <w:sz w:val="22"/>
          <w:szCs w:val="22"/>
        </w:rPr>
      </w:pPr>
      <w:r>
        <w:rPr>
          <w:sz w:val="22"/>
          <w:szCs w:val="22"/>
        </w:rPr>
        <w:lastRenderedPageBreak/>
        <w:t>1. Лимит выдачи Гарантий составляет 35 000 000 000,00 (Тридцать пять миллиардов) рублей Российской Федерации.</w:t>
      </w:r>
    </w:p>
    <w:p w:rsidR="007D0249" w:rsidRDefault="007D0249" w:rsidP="007D0249">
      <w:pPr>
        <w:pStyle w:val="af"/>
        <w:jc w:val="both"/>
        <w:rPr>
          <w:sz w:val="22"/>
          <w:szCs w:val="22"/>
        </w:rPr>
      </w:pPr>
      <w:r>
        <w:rPr>
          <w:sz w:val="22"/>
          <w:szCs w:val="22"/>
        </w:rPr>
        <w:t>2. Период выдачи Гарантий устанавливается с даты заключения Генерального соглашения по «27» декабря 2023 года включительно.</w:t>
      </w:r>
    </w:p>
    <w:p w:rsidR="007D0249" w:rsidRDefault="007D0249" w:rsidP="007D0249">
      <w:pPr>
        <w:pStyle w:val="af"/>
        <w:jc w:val="both"/>
        <w:rPr>
          <w:sz w:val="22"/>
          <w:szCs w:val="22"/>
        </w:rPr>
      </w:pPr>
      <w:r>
        <w:rPr>
          <w:sz w:val="22"/>
          <w:szCs w:val="22"/>
        </w:rPr>
        <w:t xml:space="preserve">3. Срок действия Гарантии не может превышать 1825 (Одна тысяча восемьсот двадцать пять) календарных дней от Даты выдачи Гарантии (с учетом Пролонгации Гарантии), а для Гарантий, выдаваемых по договорам, заключенным с компаниями Группы </w:t>
      </w:r>
      <w:proofErr w:type="spellStart"/>
      <w:r>
        <w:rPr>
          <w:sz w:val="22"/>
          <w:szCs w:val="22"/>
        </w:rPr>
        <w:t>Росатом</w:t>
      </w:r>
      <w:proofErr w:type="spellEnd"/>
      <w:r>
        <w:rPr>
          <w:sz w:val="22"/>
          <w:szCs w:val="22"/>
        </w:rPr>
        <w:t>:</w:t>
      </w:r>
    </w:p>
    <w:p w:rsidR="007D0249" w:rsidRDefault="007D0249" w:rsidP="007D0249">
      <w:pPr>
        <w:pStyle w:val="af"/>
        <w:jc w:val="both"/>
        <w:rPr>
          <w:sz w:val="22"/>
          <w:szCs w:val="22"/>
        </w:rPr>
      </w:pPr>
      <w:r>
        <w:rPr>
          <w:sz w:val="22"/>
          <w:szCs w:val="22"/>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7D0249" w:rsidRDefault="007D0249" w:rsidP="007D0249">
      <w:pPr>
        <w:pStyle w:val="af"/>
        <w:jc w:val="both"/>
        <w:rPr>
          <w:sz w:val="22"/>
          <w:szCs w:val="22"/>
        </w:rPr>
      </w:pPr>
      <w:r>
        <w:rPr>
          <w:sz w:val="22"/>
          <w:szCs w:val="22"/>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7D0249" w:rsidRDefault="007D0249" w:rsidP="007D0249">
      <w:pPr>
        <w:pStyle w:val="af"/>
        <w:jc w:val="both"/>
        <w:rPr>
          <w:iCs/>
          <w:sz w:val="22"/>
          <w:szCs w:val="22"/>
        </w:rPr>
      </w:pPr>
    </w:p>
    <w:p w:rsidR="007D0249" w:rsidRDefault="007D0249" w:rsidP="007D0249">
      <w:pPr>
        <w:pStyle w:val="af"/>
        <w:jc w:val="both"/>
        <w:rPr>
          <w:iCs/>
          <w:sz w:val="22"/>
          <w:szCs w:val="22"/>
        </w:rPr>
      </w:pPr>
      <w:r>
        <w:rPr>
          <w:iCs/>
          <w:sz w:val="22"/>
          <w:szCs w:val="22"/>
        </w:rPr>
        <w:t xml:space="preserve">Прочие условия заключения сделки по указанному вопросу повестки дня Собрания указываются в Приложении №1 к настоящему протоколу внеочередного общего собрания акционеров Общества. </w:t>
      </w:r>
    </w:p>
    <w:p w:rsidR="007D0249" w:rsidRDefault="007D0249" w:rsidP="007D0249">
      <w:pPr>
        <w:pStyle w:val="af"/>
        <w:jc w:val="both"/>
        <w:rPr>
          <w:i/>
          <w:sz w:val="22"/>
          <w:szCs w:val="22"/>
        </w:rPr>
      </w:pPr>
    </w:p>
    <w:p w:rsidR="007D0249" w:rsidRDefault="007D0249" w:rsidP="007D0249">
      <w:pPr>
        <w:pStyle w:val="af"/>
        <w:jc w:val="both"/>
        <w:rPr>
          <w:i/>
          <w:sz w:val="22"/>
          <w:szCs w:val="22"/>
        </w:rPr>
      </w:pPr>
      <w:r>
        <w:rPr>
          <w:i/>
          <w:sz w:val="22"/>
          <w:szCs w:val="22"/>
        </w:rPr>
        <w:t xml:space="preserve">Согласно п.6 ст.83 Федерального закона </w:t>
      </w:r>
      <w:r>
        <w:rPr>
          <w:i/>
          <w:iCs/>
          <w:sz w:val="22"/>
          <w:szCs w:val="22"/>
        </w:rPr>
        <w:t>от 26.12.1995 N 208-ФЗ «Об акционерных обществах» указываются сведения о з</w:t>
      </w:r>
      <w:r>
        <w:rPr>
          <w:i/>
          <w:sz w:val="22"/>
          <w:szCs w:val="22"/>
        </w:rPr>
        <w:t>аинтересованных в совершении сделки лицах и основаниях заинтересованности таких лиц:</w:t>
      </w:r>
    </w:p>
    <w:p w:rsidR="007D0249" w:rsidRDefault="007D0249" w:rsidP="007D0249">
      <w:pPr>
        <w:pStyle w:val="af"/>
        <w:jc w:val="both"/>
        <w:rPr>
          <w:rFonts w:eastAsia="Calibri"/>
          <w:sz w:val="22"/>
          <w:szCs w:val="22"/>
        </w:rPr>
      </w:pPr>
      <w:r>
        <w:rPr>
          <w:rFonts w:eastAsia="Calibri"/>
          <w:sz w:val="22"/>
          <w:szCs w:val="22"/>
        </w:rPr>
        <w:t>1</w:t>
      </w:r>
      <w:r>
        <w:rPr>
          <w:sz w:val="22"/>
          <w:szCs w:val="22"/>
        </w:rPr>
        <w:t>. косвенно контролирующее лицо Общества - АО «Группа ГМС» (является косвенно контролирующим лицом ОАО «</w:t>
      </w:r>
      <w:proofErr w:type="spellStart"/>
      <w:r>
        <w:rPr>
          <w:sz w:val="22"/>
          <w:szCs w:val="22"/>
        </w:rPr>
        <w:t>Казанькомпрессормаш</w:t>
      </w:r>
      <w:proofErr w:type="spellEnd"/>
      <w:r>
        <w:rPr>
          <w:sz w:val="22"/>
          <w:szCs w:val="22"/>
        </w:rPr>
        <w:t>», контролирующего ООО «</w:t>
      </w:r>
      <w:proofErr w:type="spellStart"/>
      <w:r>
        <w:rPr>
          <w:sz w:val="22"/>
          <w:szCs w:val="22"/>
        </w:rPr>
        <w:t>ЦПСиК</w:t>
      </w:r>
      <w:proofErr w:type="spellEnd"/>
      <w:r>
        <w:rPr>
          <w:sz w:val="22"/>
          <w:szCs w:val="22"/>
        </w:rPr>
        <w:t>» - выгодоприобретателя по сделке);</w:t>
      </w:r>
    </w:p>
    <w:p w:rsidR="007D0249" w:rsidRDefault="007D0249" w:rsidP="007D0249">
      <w:pPr>
        <w:pStyle w:val="af"/>
        <w:jc w:val="both"/>
        <w:rPr>
          <w:rFonts w:eastAsia="Calibri"/>
          <w:sz w:val="22"/>
          <w:szCs w:val="22"/>
        </w:rPr>
      </w:pPr>
      <w:r>
        <w:rPr>
          <w:sz w:val="22"/>
          <w:szCs w:val="22"/>
        </w:rPr>
        <w:t xml:space="preserve">2. косвенно контролирующее лицо Общества - </w:t>
      </w:r>
      <w:r>
        <w:rPr>
          <w:bCs/>
          <w:sz w:val="22"/>
          <w:szCs w:val="22"/>
        </w:rPr>
        <w:t>HMS HYDRAULIC MACHINES &amp; SYSTEMS GROUP PLC</w:t>
      </w:r>
      <w:r>
        <w:rPr>
          <w:sz w:val="22"/>
          <w:szCs w:val="22"/>
        </w:rPr>
        <w:t xml:space="preserve"> (является косвенно контролирующим лицом ОАО «</w:t>
      </w:r>
      <w:proofErr w:type="spellStart"/>
      <w:r>
        <w:rPr>
          <w:sz w:val="22"/>
          <w:szCs w:val="22"/>
        </w:rPr>
        <w:t>Казанькомпрессормаш</w:t>
      </w:r>
      <w:proofErr w:type="spellEnd"/>
      <w:r>
        <w:rPr>
          <w:sz w:val="22"/>
          <w:szCs w:val="22"/>
        </w:rPr>
        <w:t>», контролирующего ООО «</w:t>
      </w:r>
      <w:proofErr w:type="spellStart"/>
      <w:r>
        <w:rPr>
          <w:sz w:val="22"/>
          <w:szCs w:val="22"/>
        </w:rPr>
        <w:t>ЦПСиК</w:t>
      </w:r>
      <w:proofErr w:type="spellEnd"/>
      <w:r>
        <w:rPr>
          <w:sz w:val="22"/>
          <w:szCs w:val="22"/>
        </w:rPr>
        <w:t>» - выгодоприобретателя по сделке);</w:t>
      </w:r>
    </w:p>
    <w:p w:rsidR="007D0249" w:rsidRDefault="007D0249" w:rsidP="007D0249">
      <w:pPr>
        <w:pStyle w:val="af"/>
        <w:jc w:val="both"/>
        <w:rPr>
          <w:sz w:val="22"/>
          <w:szCs w:val="22"/>
        </w:rPr>
      </w:pPr>
      <w:r>
        <w:rPr>
          <w:iCs/>
          <w:sz w:val="22"/>
          <w:szCs w:val="22"/>
        </w:rPr>
        <w:t xml:space="preserve">3. </w:t>
      </w:r>
      <w:r>
        <w:rPr>
          <w:sz w:val="22"/>
          <w:szCs w:val="22"/>
        </w:rPr>
        <w:t xml:space="preserve">член совета директоров Общества </w:t>
      </w:r>
      <w:proofErr w:type="spellStart"/>
      <w:r>
        <w:rPr>
          <w:sz w:val="22"/>
          <w:szCs w:val="22"/>
        </w:rPr>
        <w:t>Скрынник</w:t>
      </w:r>
      <w:proofErr w:type="spellEnd"/>
      <w:r>
        <w:rPr>
          <w:sz w:val="22"/>
          <w:szCs w:val="22"/>
        </w:rPr>
        <w:t xml:space="preserve"> Юрий Николаевич (является членом совета директоров ОАО «</w:t>
      </w:r>
      <w:proofErr w:type="spellStart"/>
      <w:r>
        <w:rPr>
          <w:sz w:val="22"/>
          <w:szCs w:val="22"/>
        </w:rPr>
        <w:t>Казанькомпрессормаш</w:t>
      </w:r>
      <w:proofErr w:type="spellEnd"/>
      <w:r>
        <w:rPr>
          <w:sz w:val="22"/>
          <w:szCs w:val="22"/>
        </w:rPr>
        <w:t>», контролирующего ООО «</w:t>
      </w:r>
      <w:proofErr w:type="spellStart"/>
      <w:r>
        <w:rPr>
          <w:sz w:val="22"/>
          <w:szCs w:val="22"/>
        </w:rPr>
        <w:t>ЦПСиК</w:t>
      </w:r>
      <w:proofErr w:type="spellEnd"/>
      <w:r>
        <w:rPr>
          <w:sz w:val="22"/>
          <w:szCs w:val="22"/>
        </w:rPr>
        <w:t>» - выгодоприобретателя по сделке);</w:t>
      </w:r>
    </w:p>
    <w:p w:rsidR="007D0249" w:rsidRDefault="007D0249" w:rsidP="007D0249">
      <w:pPr>
        <w:pStyle w:val="af"/>
        <w:jc w:val="both"/>
        <w:rPr>
          <w:sz w:val="22"/>
          <w:szCs w:val="22"/>
        </w:rPr>
      </w:pPr>
      <w:r>
        <w:rPr>
          <w:sz w:val="22"/>
          <w:szCs w:val="22"/>
        </w:rPr>
        <w:t xml:space="preserve">4. управляющая организация Общества - </w:t>
      </w:r>
      <w:r>
        <w:rPr>
          <w:rFonts w:eastAsia="Calibri"/>
          <w:sz w:val="22"/>
          <w:szCs w:val="22"/>
        </w:rPr>
        <w:t xml:space="preserve">ООО «УК «Группа ГМС» (является также </w:t>
      </w:r>
      <w:r>
        <w:rPr>
          <w:sz w:val="22"/>
          <w:szCs w:val="22"/>
        </w:rPr>
        <w:t>управляющей организацией ОАО «</w:t>
      </w:r>
      <w:proofErr w:type="spellStart"/>
      <w:r>
        <w:rPr>
          <w:sz w:val="22"/>
          <w:szCs w:val="22"/>
        </w:rPr>
        <w:t>Казанькомпрессормаш</w:t>
      </w:r>
      <w:proofErr w:type="spellEnd"/>
      <w:r>
        <w:rPr>
          <w:sz w:val="22"/>
          <w:szCs w:val="22"/>
        </w:rPr>
        <w:t>», контролирующего ООО «</w:t>
      </w:r>
      <w:proofErr w:type="spellStart"/>
      <w:r>
        <w:rPr>
          <w:sz w:val="22"/>
          <w:szCs w:val="22"/>
        </w:rPr>
        <w:t>ЦПСиК</w:t>
      </w:r>
      <w:proofErr w:type="spellEnd"/>
      <w:r>
        <w:rPr>
          <w:sz w:val="22"/>
          <w:szCs w:val="22"/>
        </w:rPr>
        <w:t>» - выгодоприобретателя по сделке).</w:t>
      </w:r>
    </w:p>
    <w:p w:rsidR="00B73116" w:rsidRPr="00782F27" w:rsidRDefault="00B73116" w:rsidP="00B73116">
      <w:pPr>
        <w:autoSpaceDE w:val="0"/>
        <w:autoSpaceDN w:val="0"/>
        <w:adjustRightInd w:val="0"/>
        <w:jc w:val="both"/>
      </w:pPr>
    </w:p>
    <w:p w:rsidR="00055939" w:rsidRPr="00782F27" w:rsidRDefault="007D0249" w:rsidP="00055939">
      <w:pPr>
        <w:overflowPunct w:val="0"/>
        <w:autoSpaceDE w:val="0"/>
        <w:autoSpaceDN w:val="0"/>
        <w:adjustRightInd w:val="0"/>
        <w:spacing w:before="120"/>
        <w:jc w:val="both"/>
        <w:rPr>
          <w:b/>
        </w:rPr>
      </w:pPr>
      <w:r>
        <w:rPr>
          <w:b/>
        </w:rPr>
        <w:t>Дата составления отчета: «20» августа</w:t>
      </w:r>
      <w:r w:rsidR="00D908D5" w:rsidRPr="00782F27">
        <w:rPr>
          <w:b/>
        </w:rPr>
        <w:t xml:space="preserve"> 2019</w:t>
      </w:r>
      <w:r w:rsidR="00055939" w:rsidRPr="00782F27">
        <w:rPr>
          <w:b/>
        </w:rPr>
        <w:t xml:space="preserve"> года.</w:t>
      </w:r>
    </w:p>
    <w:p w:rsidR="00914E6A" w:rsidRPr="00782F27" w:rsidRDefault="00914E6A" w:rsidP="00055939">
      <w:pPr>
        <w:overflowPunct w:val="0"/>
        <w:autoSpaceDE w:val="0"/>
        <w:autoSpaceDN w:val="0"/>
        <w:adjustRightInd w:val="0"/>
        <w:spacing w:before="120"/>
        <w:jc w:val="both"/>
        <w:rPr>
          <w:b/>
        </w:rPr>
      </w:pPr>
    </w:p>
    <w:p w:rsidR="004A044A" w:rsidRPr="00782F27" w:rsidRDefault="004A044A" w:rsidP="004A044A">
      <w:pPr>
        <w:rPr>
          <w:b/>
        </w:rPr>
      </w:pPr>
      <w:r w:rsidRPr="00782F27">
        <w:rPr>
          <w:b/>
        </w:rPr>
        <w:t>Председатель Собрания</w:t>
      </w:r>
      <w:r w:rsidRPr="00782F27">
        <w:rPr>
          <w:b/>
        </w:rPr>
        <w:tab/>
      </w:r>
      <w:r w:rsidRPr="00782F27">
        <w:rPr>
          <w:b/>
        </w:rPr>
        <w:tab/>
      </w:r>
      <w:r w:rsidRPr="00782F27">
        <w:rPr>
          <w:b/>
        </w:rPr>
        <w:tab/>
        <w:t>(подпись)</w:t>
      </w:r>
      <w:r w:rsidRPr="00782F27">
        <w:rPr>
          <w:b/>
        </w:rPr>
        <w:tab/>
      </w:r>
      <w:r w:rsidRPr="00782F27">
        <w:rPr>
          <w:b/>
        </w:rPr>
        <w:tab/>
      </w:r>
      <w:r w:rsidRPr="00782F27">
        <w:rPr>
          <w:b/>
        </w:rPr>
        <w:tab/>
        <w:t>А.Е. Новиков</w:t>
      </w:r>
    </w:p>
    <w:p w:rsidR="004A044A" w:rsidRPr="00782F27" w:rsidRDefault="004A044A" w:rsidP="004A044A">
      <w:pPr>
        <w:rPr>
          <w:b/>
        </w:rPr>
      </w:pPr>
    </w:p>
    <w:p w:rsidR="004A044A" w:rsidRPr="00782F27" w:rsidRDefault="004A044A" w:rsidP="004A044A">
      <w:pPr>
        <w:rPr>
          <w:b/>
        </w:rPr>
      </w:pPr>
    </w:p>
    <w:p w:rsidR="004A044A" w:rsidRPr="00782F27" w:rsidRDefault="00782F27" w:rsidP="004A044A">
      <w:pPr>
        <w:rPr>
          <w:b/>
        </w:rPr>
      </w:pPr>
      <w:r>
        <w:rPr>
          <w:b/>
        </w:rPr>
        <w:t>Секретарь Собрания</w:t>
      </w:r>
      <w:r>
        <w:rPr>
          <w:b/>
        </w:rPr>
        <w:tab/>
      </w:r>
      <w:r>
        <w:rPr>
          <w:b/>
        </w:rPr>
        <w:tab/>
      </w:r>
      <w:r>
        <w:rPr>
          <w:b/>
        </w:rPr>
        <w:tab/>
      </w:r>
      <w:r w:rsidR="004A044A" w:rsidRPr="00782F27">
        <w:rPr>
          <w:b/>
        </w:rPr>
        <w:t>(подпись)</w:t>
      </w:r>
      <w:r w:rsidR="004A044A" w:rsidRPr="00782F27">
        <w:rPr>
          <w:b/>
        </w:rPr>
        <w:tab/>
      </w:r>
      <w:r w:rsidR="004A044A" w:rsidRPr="00782F27">
        <w:rPr>
          <w:b/>
        </w:rPr>
        <w:tab/>
        <w:t xml:space="preserve">             Н. В. Нугаева</w:t>
      </w:r>
    </w:p>
    <w:p w:rsidR="004A044A" w:rsidRPr="00782F27" w:rsidRDefault="004A044A" w:rsidP="004A044A">
      <w:pPr>
        <w:jc w:val="both"/>
        <w:rPr>
          <w:b/>
        </w:rPr>
      </w:pPr>
    </w:p>
    <w:p w:rsidR="00B44650" w:rsidRPr="00782F27" w:rsidRDefault="004A044A" w:rsidP="004A044A">
      <w:pPr>
        <w:rPr>
          <w:b/>
        </w:rPr>
      </w:pPr>
      <w:r w:rsidRPr="00782F27">
        <w:rPr>
          <w:b/>
        </w:rPr>
        <w:t xml:space="preserve">                                                                    </w:t>
      </w:r>
    </w:p>
    <w:p w:rsidR="004A044A" w:rsidRPr="00782F27" w:rsidRDefault="004A044A" w:rsidP="00B44650">
      <w:pPr>
        <w:ind w:left="4248" w:firstLine="708"/>
      </w:pPr>
      <w:r w:rsidRPr="00782F27">
        <w:t xml:space="preserve">М.П. </w:t>
      </w:r>
    </w:p>
    <w:p w:rsidR="004A044A" w:rsidRPr="00782F27" w:rsidRDefault="004A044A" w:rsidP="004A044A"/>
    <w:p w:rsidR="004A044A" w:rsidRPr="00782F27" w:rsidRDefault="004A044A" w:rsidP="004A044A"/>
    <w:p w:rsidR="004A044A" w:rsidRPr="00782F27" w:rsidRDefault="004A044A" w:rsidP="004A044A">
      <w:pPr>
        <w:autoSpaceDN w:val="0"/>
        <w:adjustRightInd w:val="0"/>
        <w:ind w:firstLine="540"/>
        <w:jc w:val="both"/>
      </w:pPr>
      <w:bookmarkStart w:id="0" w:name="_GoBack"/>
      <w:bookmarkEnd w:id="0"/>
    </w:p>
    <w:p w:rsidR="00055939" w:rsidRPr="00C8609F" w:rsidRDefault="00055939" w:rsidP="00782F27">
      <w:pPr>
        <w:rPr>
          <w:b/>
          <w:sz w:val="22"/>
          <w:szCs w:val="22"/>
        </w:rPr>
      </w:pPr>
    </w:p>
    <w:sectPr w:rsidR="00055939" w:rsidRPr="00C8609F"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23" w:rsidRDefault="003F0123" w:rsidP="00055939">
      <w:r>
        <w:separator/>
      </w:r>
    </w:p>
  </w:endnote>
  <w:endnote w:type="continuationSeparator" w:id="0">
    <w:p w:rsidR="003F0123" w:rsidRDefault="003F0123"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0C07DF">
          <w:rPr>
            <w:noProof/>
          </w:rPr>
          <w:t>3</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23" w:rsidRDefault="003F0123" w:rsidP="00055939">
      <w:r>
        <w:separator/>
      </w:r>
    </w:p>
  </w:footnote>
  <w:footnote w:type="continuationSeparator" w:id="0">
    <w:p w:rsidR="003F0123" w:rsidRDefault="003F0123"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DBE"/>
    <w:rsid w:val="00047538"/>
    <w:rsid w:val="00055939"/>
    <w:rsid w:val="00056547"/>
    <w:rsid w:val="00056AD4"/>
    <w:rsid w:val="000613CF"/>
    <w:rsid w:val="000804CC"/>
    <w:rsid w:val="000A01D8"/>
    <w:rsid w:val="000A7F39"/>
    <w:rsid w:val="000C07DF"/>
    <w:rsid w:val="000C0BD8"/>
    <w:rsid w:val="000E69A5"/>
    <w:rsid w:val="000F552D"/>
    <w:rsid w:val="00153DE3"/>
    <w:rsid w:val="00171E01"/>
    <w:rsid w:val="001733E9"/>
    <w:rsid w:val="00177E83"/>
    <w:rsid w:val="001812D3"/>
    <w:rsid w:val="00183711"/>
    <w:rsid w:val="001E45E3"/>
    <w:rsid w:val="001F0B97"/>
    <w:rsid w:val="00217243"/>
    <w:rsid w:val="00225980"/>
    <w:rsid w:val="002264ED"/>
    <w:rsid w:val="002302EB"/>
    <w:rsid w:val="00255530"/>
    <w:rsid w:val="00261F77"/>
    <w:rsid w:val="002719D3"/>
    <w:rsid w:val="00276B08"/>
    <w:rsid w:val="002955E6"/>
    <w:rsid w:val="002961A7"/>
    <w:rsid w:val="002969D0"/>
    <w:rsid w:val="002B2C83"/>
    <w:rsid w:val="002E6436"/>
    <w:rsid w:val="002E77C8"/>
    <w:rsid w:val="00310CE2"/>
    <w:rsid w:val="0036029C"/>
    <w:rsid w:val="00372EFA"/>
    <w:rsid w:val="00375A39"/>
    <w:rsid w:val="00384DC8"/>
    <w:rsid w:val="003A093B"/>
    <w:rsid w:val="003D5C01"/>
    <w:rsid w:val="003D738D"/>
    <w:rsid w:val="003D7EB0"/>
    <w:rsid w:val="003E2ACD"/>
    <w:rsid w:val="003E2DA6"/>
    <w:rsid w:val="003F0123"/>
    <w:rsid w:val="003F6962"/>
    <w:rsid w:val="004017EE"/>
    <w:rsid w:val="004146C5"/>
    <w:rsid w:val="004409AF"/>
    <w:rsid w:val="00452457"/>
    <w:rsid w:val="0045602B"/>
    <w:rsid w:val="0046229F"/>
    <w:rsid w:val="004A044A"/>
    <w:rsid w:val="004A275C"/>
    <w:rsid w:val="004B69D1"/>
    <w:rsid w:val="004D5CB1"/>
    <w:rsid w:val="004D67E8"/>
    <w:rsid w:val="004F2039"/>
    <w:rsid w:val="005137B5"/>
    <w:rsid w:val="00551B39"/>
    <w:rsid w:val="00562602"/>
    <w:rsid w:val="00562C5E"/>
    <w:rsid w:val="00582FEE"/>
    <w:rsid w:val="0058745D"/>
    <w:rsid w:val="005A0835"/>
    <w:rsid w:val="005D3318"/>
    <w:rsid w:val="005E13F3"/>
    <w:rsid w:val="005F2617"/>
    <w:rsid w:val="005F6993"/>
    <w:rsid w:val="00600667"/>
    <w:rsid w:val="00610F75"/>
    <w:rsid w:val="00693176"/>
    <w:rsid w:val="006B279F"/>
    <w:rsid w:val="006D5BC8"/>
    <w:rsid w:val="006F2E90"/>
    <w:rsid w:val="006F7FE4"/>
    <w:rsid w:val="007116E6"/>
    <w:rsid w:val="00733922"/>
    <w:rsid w:val="00742591"/>
    <w:rsid w:val="00772678"/>
    <w:rsid w:val="00782F27"/>
    <w:rsid w:val="007A180F"/>
    <w:rsid w:val="007C03D0"/>
    <w:rsid w:val="007C1FAF"/>
    <w:rsid w:val="007D0249"/>
    <w:rsid w:val="00814F0B"/>
    <w:rsid w:val="00815B37"/>
    <w:rsid w:val="00830BEA"/>
    <w:rsid w:val="00846B3D"/>
    <w:rsid w:val="00866EBB"/>
    <w:rsid w:val="00871516"/>
    <w:rsid w:val="00884EAF"/>
    <w:rsid w:val="008A0259"/>
    <w:rsid w:val="008C2591"/>
    <w:rsid w:val="008C666F"/>
    <w:rsid w:val="008F55AF"/>
    <w:rsid w:val="009129CB"/>
    <w:rsid w:val="00914E6A"/>
    <w:rsid w:val="00935066"/>
    <w:rsid w:val="00941CE0"/>
    <w:rsid w:val="009460C1"/>
    <w:rsid w:val="00952A92"/>
    <w:rsid w:val="009909A7"/>
    <w:rsid w:val="009919D2"/>
    <w:rsid w:val="009C496D"/>
    <w:rsid w:val="009C593C"/>
    <w:rsid w:val="009F4ADE"/>
    <w:rsid w:val="00A142E2"/>
    <w:rsid w:val="00A41B09"/>
    <w:rsid w:val="00A43D2D"/>
    <w:rsid w:val="00A459EE"/>
    <w:rsid w:val="00A46818"/>
    <w:rsid w:val="00A65AE4"/>
    <w:rsid w:val="00A76C33"/>
    <w:rsid w:val="00AE7C5C"/>
    <w:rsid w:val="00B0582C"/>
    <w:rsid w:val="00B44650"/>
    <w:rsid w:val="00B73116"/>
    <w:rsid w:val="00B73444"/>
    <w:rsid w:val="00B84D5F"/>
    <w:rsid w:val="00B93253"/>
    <w:rsid w:val="00BB4BC9"/>
    <w:rsid w:val="00BC1296"/>
    <w:rsid w:val="00C259A4"/>
    <w:rsid w:val="00C4254A"/>
    <w:rsid w:val="00C8609F"/>
    <w:rsid w:val="00C9616F"/>
    <w:rsid w:val="00CB6C42"/>
    <w:rsid w:val="00CC0247"/>
    <w:rsid w:val="00CC422A"/>
    <w:rsid w:val="00CC5281"/>
    <w:rsid w:val="00CD4043"/>
    <w:rsid w:val="00CF4280"/>
    <w:rsid w:val="00D219D1"/>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2019E"/>
    <w:rsid w:val="00E40748"/>
    <w:rsid w:val="00E710C3"/>
    <w:rsid w:val="00E955E4"/>
    <w:rsid w:val="00EB674B"/>
    <w:rsid w:val="00EC653A"/>
    <w:rsid w:val="00F02408"/>
    <w:rsid w:val="00F15066"/>
    <w:rsid w:val="00F709F8"/>
    <w:rsid w:val="00FA3C30"/>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 w:type="paragraph" w:styleId="af">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преамбула"/>
    <w:basedOn w:val="a0"/>
    <w:rsid w:val="00DD167B"/>
    <w:pPr>
      <w:widowControl w:val="0"/>
      <w:spacing w:before="120" w:line="300" w:lineRule="exact"/>
      <w:jc w:val="both"/>
    </w:pPr>
    <w:rPr>
      <w:rFonts w:ascii="Arial" w:hAnsi="Arial"/>
      <w:color w:val="000000"/>
      <w:szCs w:val="20"/>
    </w:rPr>
  </w:style>
  <w:style w:type="character" w:styleId="af1">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81</cp:revision>
  <dcterms:created xsi:type="dcterms:W3CDTF">2018-06-15T04:20:00Z</dcterms:created>
  <dcterms:modified xsi:type="dcterms:W3CDTF">2019-07-29T06:14:00Z</dcterms:modified>
</cp:coreProperties>
</file>