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054BB" w:rsidP="003A7EC6">
            <w:pPr>
              <w:jc w:val="both"/>
              <w:rPr>
                <w:b/>
                <w:sz w:val="22"/>
                <w:szCs w:val="22"/>
              </w:rPr>
            </w:pPr>
            <w:r>
              <w:rPr>
                <w:b/>
                <w:sz w:val="22"/>
                <w:szCs w:val="22"/>
              </w:rPr>
              <w:t>«29» ноября</w:t>
            </w:r>
            <w:r w:rsidR="009B3C71">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32745D">
        <w:trPr>
          <w:trHeight w:val="424"/>
        </w:trPr>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38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F74683" w:rsidP="003A7EC6">
            <w:pPr>
              <w:jc w:val="both"/>
              <w:rPr>
                <w:sz w:val="22"/>
                <w:szCs w:val="22"/>
              </w:rPr>
            </w:pPr>
            <w:r>
              <w:rPr>
                <w:sz w:val="22"/>
                <w:szCs w:val="22"/>
              </w:rPr>
              <w:t>«06» ноября</w:t>
            </w:r>
            <w:r w:rsidR="00184A27" w:rsidRPr="00AE7A8D">
              <w:rPr>
                <w:sz w:val="22"/>
                <w:szCs w:val="22"/>
              </w:rPr>
              <w:t xml:space="preserve"> 2022</w:t>
            </w:r>
            <w:r w:rsidR="00530404" w:rsidRPr="00AE7A8D">
              <w:rPr>
                <w:sz w:val="22"/>
                <w:szCs w:val="22"/>
              </w:rPr>
              <w:t xml:space="preserve"> года</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645A3" w:rsidP="003A7EC6">
            <w:pPr>
              <w:jc w:val="both"/>
              <w:rPr>
                <w:b/>
                <w:sz w:val="22"/>
                <w:szCs w:val="22"/>
              </w:rPr>
            </w:pPr>
            <w:r>
              <w:rPr>
                <w:b/>
                <w:sz w:val="22"/>
                <w:szCs w:val="22"/>
              </w:rPr>
              <w:t>«30» ноября</w:t>
            </w:r>
            <w:r w:rsidR="0002308D">
              <w:rPr>
                <w:b/>
                <w:sz w:val="22"/>
                <w:szCs w:val="22"/>
              </w:rPr>
              <w:t xml:space="preserve">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D342DC" w:rsidRPr="00656279" w:rsidRDefault="00D342DC" w:rsidP="00D342DC">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A23FA9" w:rsidRPr="00AE7A8D" w:rsidRDefault="00A23FA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b/>
                <w:sz w:val="22"/>
                <w:szCs w:val="22"/>
              </w:rPr>
            </w:pPr>
            <w:r w:rsidRPr="00AE7A8D">
              <w:rPr>
                <w:b/>
                <w:sz w:val="22"/>
                <w:szCs w:val="22"/>
              </w:rPr>
              <w:t>Инфор</w:t>
            </w:r>
            <w:r w:rsidR="00796B19">
              <w:rPr>
                <w:b/>
                <w:sz w:val="22"/>
                <w:szCs w:val="22"/>
              </w:rPr>
              <w:t>мация о наличии кворума по 1-3</w:t>
            </w:r>
            <w:r w:rsidRPr="00AE7A8D">
              <w:rPr>
                <w:b/>
                <w:sz w:val="22"/>
                <w:szCs w:val="22"/>
              </w:rPr>
              <w:t xml:space="preserve"> вопросам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FD74B7" w:rsidRPr="00AE7A8D" w:rsidRDefault="00FD74B7" w:rsidP="00FD74B7">
      <w:pPr>
        <w:jc w:val="both"/>
        <w:rPr>
          <w:b/>
          <w:bCs/>
          <w:sz w:val="22"/>
          <w:szCs w:val="22"/>
        </w:rPr>
      </w:pPr>
      <w:r w:rsidRPr="00AE7A8D">
        <w:rPr>
          <w:b/>
          <w:bCs/>
          <w:sz w:val="22"/>
          <w:szCs w:val="22"/>
        </w:rPr>
        <w:t>Инфо</w:t>
      </w:r>
      <w:r w:rsidR="00FE312D">
        <w:rPr>
          <w:b/>
          <w:bCs/>
          <w:sz w:val="22"/>
          <w:szCs w:val="22"/>
        </w:rPr>
        <w:t>рмация о наличии кворума по</w:t>
      </w:r>
      <w:r w:rsidR="00796B19">
        <w:rPr>
          <w:b/>
          <w:bCs/>
          <w:sz w:val="22"/>
          <w:szCs w:val="22"/>
        </w:rPr>
        <w:t xml:space="preserve"> 1-3</w:t>
      </w:r>
      <w:r w:rsidRPr="00AE7A8D">
        <w:rPr>
          <w:b/>
          <w:bCs/>
          <w:sz w:val="22"/>
          <w:szCs w:val="22"/>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B564C3" w:rsidRPr="00DE110A" w:rsidRDefault="00B564C3" w:rsidP="00B564C3">
      <w:pPr>
        <w:pStyle w:val="af1"/>
        <w:ind w:firstLine="709"/>
        <w:contextualSpacing/>
        <w:jc w:val="both"/>
        <w:rPr>
          <w:sz w:val="22"/>
          <w:szCs w:val="22"/>
        </w:rPr>
      </w:pPr>
      <w:r w:rsidRPr="00DE110A">
        <w:rPr>
          <w:sz w:val="22"/>
          <w:szCs w:val="22"/>
        </w:rPr>
        <w:t>1). 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Договора поручительства</w:t>
      </w:r>
      <w:r>
        <w:rPr>
          <w:rFonts w:eastAsia="Calibri"/>
          <w:sz w:val="22"/>
          <w:szCs w:val="22"/>
        </w:rPr>
        <w:t xml:space="preserve"> </w:t>
      </w:r>
      <w:r w:rsidRPr="000226B1">
        <w:rPr>
          <w:sz w:val="22"/>
          <w:szCs w:val="22"/>
        </w:rPr>
        <w:t xml:space="preserve">№ </w:t>
      </w:r>
      <w:r>
        <w:rPr>
          <w:sz w:val="22"/>
          <w:szCs w:val="22"/>
        </w:rPr>
        <w:t>06503</w:t>
      </w:r>
      <w:r w:rsidRPr="00BD21D3">
        <w:rPr>
          <w:sz w:val="22"/>
          <w:szCs w:val="22"/>
        </w:rPr>
        <w:t>/22</w:t>
      </w:r>
      <w:r>
        <w:rPr>
          <w:sz w:val="22"/>
          <w:szCs w:val="22"/>
        </w:rPr>
        <w:t xml:space="preserve"> </w:t>
      </w:r>
      <w:r w:rsidRPr="000226B1">
        <w:rPr>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w:t>
      </w:r>
      <w:r w:rsidRPr="003475A6">
        <w:rPr>
          <w:sz w:val="22"/>
          <w:szCs w:val="22"/>
        </w:rPr>
        <w:t>Соглашению № БГ</w:t>
      </w:r>
      <w:r>
        <w:rPr>
          <w:sz w:val="22"/>
          <w:szCs w:val="22"/>
        </w:rPr>
        <w:t>065</w:t>
      </w:r>
      <w:r w:rsidRPr="003475A6">
        <w:rPr>
          <w:sz w:val="22"/>
          <w:szCs w:val="22"/>
        </w:rPr>
        <w:t>/22</w:t>
      </w:r>
      <w:r>
        <w:rPr>
          <w:sz w:val="22"/>
          <w:szCs w:val="22"/>
        </w:rPr>
        <w:t xml:space="preserve"> </w:t>
      </w:r>
      <w:r w:rsidRPr="003475A6">
        <w:rPr>
          <w:sz w:val="22"/>
          <w:szCs w:val="22"/>
        </w:rPr>
        <w:t xml:space="preserve">о выдаче гарантий от </w:t>
      </w:r>
      <w:r>
        <w:rPr>
          <w:sz w:val="22"/>
          <w:szCs w:val="22"/>
        </w:rPr>
        <w:t>«</w:t>
      </w:r>
      <w:r w:rsidRPr="003475A6">
        <w:rPr>
          <w:sz w:val="22"/>
          <w:szCs w:val="22"/>
        </w:rPr>
        <w:t>13</w:t>
      </w:r>
      <w:r>
        <w:rPr>
          <w:sz w:val="22"/>
          <w:szCs w:val="22"/>
        </w:rPr>
        <w:t>»</w:t>
      </w:r>
      <w:r w:rsidRPr="003475A6">
        <w:rPr>
          <w:sz w:val="22"/>
          <w:szCs w:val="22"/>
        </w:rPr>
        <w:t xml:space="preserve"> сентября 2022</w:t>
      </w:r>
      <w:r>
        <w:rPr>
          <w:sz w:val="22"/>
          <w:szCs w:val="22"/>
        </w:rPr>
        <w:t xml:space="preserve"> </w:t>
      </w:r>
      <w:r w:rsidRPr="003475A6">
        <w:rPr>
          <w:sz w:val="22"/>
          <w:szCs w:val="22"/>
        </w:rPr>
        <w:t xml:space="preserve">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sidRPr="00DE110A">
        <w:rPr>
          <w:sz w:val="22"/>
          <w:szCs w:val="22"/>
          <w:lang w:eastAsia="en-US"/>
        </w:rPr>
        <w:t xml:space="preserve">. </w:t>
      </w:r>
    </w:p>
    <w:p w:rsidR="00B564C3" w:rsidRPr="00DE110A" w:rsidRDefault="00B564C3" w:rsidP="00B564C3">
      <w:pPr>
        <w:ind w:firstLine="709"/>
        <w:contextualSpacing/>
        <w:jc w:val="both"/>
        <w:rPr>
          <w:sz w:val="22"/>
          <w:szCs w:val="22"/>
          <w:lang w:eastAsia="en-US"/>
        </w:rPr>
      </w:pPr>
      <w:r>
        <w:rPr>
          <w:sz w:val="22"/>
          <w:szCs w:val="22"/>
          <w:lang w:eastAsia="en-US"/>
        </w:rPr>
        <w:t>2</w:t>
      </w:r>
      <w:r w:rsidRPr="00DE110A">
        <w:rPr>
          <w:sz w:val="22"/>
          <w:szCs w:val="22"/>
          <w:lang w:eastAsia="en-US"/>
        </w:rPr>
        <w:t xml:space="preserve">). </w:t>
      </w: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Договора поручительства №</w:t>
      </w:r>
      <w:r>
        <w:rPr>
          <w:rFonts w:eastAsia="Calibri"/>
          <w:sz w:val="22"/>
          <w:szCs w:val="22"/>
        </w:rPr>
        <w:t xml:space="preserve"> </w:t>
      </w:r>
      <w:r>
        <w:rPr>
          <w:sz w:val="22"/>
          <w:szCs w:val="22"/>
        </w:rPr>
        <w:t>12003</w:t>
      </w:r>
      <w:r w:rsidRPr="00BD21D3">
        <w:rPr>
          <w:sz w:val="22"/>
          <w:szCs w:val="22"/>
        </w:rPr>
        <w:t>/22</w:t>
      </w:r>
      <w:r>
        <w:rPr>
          <w:sz w:val="22"/>
          <w:szCs w:val="22"/>
        </w:rPr>
        <w:t xml:space="preserve">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w:t>
      </w:r>
      <w:r w:rsidRPr="003475A6">
        <w:rPr>
          <w:sz w:val="22"/>
          <w:szCs w:val="22"/>
        </w:rPr>
        <w:t>Соглашению № БГ</w:t>
      </w:r>
      <w:r>
        <w:rPr>
          <w:sz w:val="22"/>
          <w:szCs w:val="22"/>
        </w:rPr>
        <w:t>120</w:t>
      </w:r>
      <w:r w:rsidRPr="003475A6">
        <w:rPr>
          <w:sz w:val="22"/>
          <w:szCs w:val="22"/>
        </w:rPr>
        <w:t>/22</w:t>
      </w:r>
      <w:r>
        <w:rPr>
          <w:sz w:val="22"/>
          <w:szCs w:val="22"/>
        </w:rPr>
        <w:t xml:space="preserve"> </w:t>
      </w:r>
      <w:r w:rsidRPr="003475A6">
        <w:rPr>
          <w:sz w:val="22"/>
          <w:szCs w:val="22"/>
        </w:rPr>
        <w:t xml:space="preserve">о выдаче гарантий </w:t>
      </w:r>
      <w:r>
        <w:rPr>
          <w:sz w:val="22"/>
          <w:szCs w:val="22"/>
        </w:rPr>
        <w:t xml:space="preserve">от «13» сентября 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sidRPr="00DE110A">
        <w:rPr>
          <w:sz w:val="22"/>
          <w:szCs w:val="22"/>
          <w:lang w:eastAsia="en-US"/>
        </w:rPr>
        <w:t xml:space="preserve">. </w:t>
      </w:r>
    </w:p>
    <w:p w:rsidR="00B564C3" w:rsidRDefault="00B564C3" w:rsidP="00B564C3">
      <w:pPr>
        <w:ind w:firstLine="709"/>
        <w:contextualSpacing/>
        <w:jc w:val="both"/>
        <w:rPr>
          <w:sz w:val="22"/>
          <w:szCs w:val="22"/>
          <w:lang w:eastAsia="en-US"/>
        </w:rPr>
      </w:pPr>
      <w:r>
        <w:rPr>
          <w:sz w:val="22"/>
          <w:szCs w:val="22"/>
          <w:lang w:eastAsia="en-US"/>
        </w:rPr>
        <w:t>3</w:t>
      </w:r>
      <w:r w:rsidRPr="00DE110A">
        <w:rPr>
          <w:sz w:val="22"/>
          <w:szCs w:val="22"/>
          <w:lang w:eastAsia="en-US"/>
        </w:rPr>
        <w:t xml:space="preserve">). </w:t>
      </w: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 </w:t>
      </w:r>
      <w:r>
        <w:rPr>
          <w:sz w:val="22"/>
          <w:szCs w:val="22"/>
        </w:rPr>
        <w:t>11903/22</w:t>
      </w:r>
      <w:r w:rsidRPr="00733AE8">
        <w:rPr>
          <w:sz w:val="22"/>
          <w:szCs w:val="22"/>
        </w:rPr>
        <w:t xml:space="preserve"> </w:t>
      </w:r>
      <w:r w:rsidRPr="000226B1">
        <w:rPr>
          <w:sz w:val="22"/>
          <w:szCs w:val="22"/>
        </w:rPr>
        <w:t xml:space="preserve">от </w:t>
      </w:r>
      <w:r>
        <w:rPr>
          <w:sz w:val="22"/>
          <w:szCs w:val="22"/>
        </w:rPr>
        <w:t>«13» сентября 2022 г.</w:t>
      </w:r>
      <w:r>
        <w:rPr>
          <w:rFonts w:eastAsia="Calibri"/>
          <w:sz w:val="22"/>
          <w:szCs w:val="22"/>
        </w:rPr>
        <w:t>,</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w:t>
      </w:r>
      <w:r w:rsidRPr="00DE110A">
        <w:rPr>
          <w:rFonts w:eastAsia="Calibri"/>
          <w:sz w:val="22"/>
          <w:szCs w:val="22"/>
        </w:rPr>
        <w:t xml:space="preserve">по </w:t>
      </w:r>
      <w:r w:rsidRPr="003475A6">
        <w:rPr>
          <w:sz w:val="22"/>
          <w:szCs w:val="22"/>
        </w:rPr>
        <w:t>Соглашению № БГ</w:t>
      </w:r>
      <w:r>
        <w:rPr>
          <w:sz w:val="22"/>
          <w:szCs w:val="22"/>
        </w:rPr>
        <w:t>119</w:t>
      </w:r>
      <w:r w:rsidRPr="003475A6">
        <w:rPr>
          <w:sz w:val="22"/>
          <w:szCs w:val="22"/>
        </w:rPr>
        <w:t>/22</w:t>
      </w:r>
      <w:r>
        <w:rPr>
          <w:sz w:val="22"/>
          <w:szCs w:val="22"/>
        </w:rPr>
        <w:t xml:space="preserve"> </w:t>
      </w:r>
      <w:r w:rsidRPr="003475A6">
        <w:rPr>
          <w:sz w:val="22"/>
          <w:szCs w:val="22"/>
        </w:rPr>
        <w:t>о выдаче</w:t>
      </w:r>
      <w:r>
        <w:rPr>
          <w:sz w:val="22"/>
          <w:szCs w:val="22"/>
        </w:rPr>
        <w:t xml:space="preserve"> гарантий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w:t>
      </w:r>
      <w:r w:rsidRPr="00DE110A">
        <w:rPr>
          <w:sz w:val="22"/>
          <w:szCs w:val="22"/>
          <w:lang w:eastAsia="en-US"/>
        </w:rPr>
        <w:t xml:space="preserve">между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и </w:t>
      </w:r>
      <w:r w:rsidRPr="00DE110A">
        <w:rPr>
          <w:color w:val="000000"/>
          <w:sz w:val="22"/>
          <w:szCs w:val="22"/>
        </w:rPr>
        <w:t>ПАО «МОСКОВСКИЙ КРЕДИТНЫЙ БАНК»</w:t>
      </w:r>
      <w:r w:rsidRPr="00DE110A">
        <w:rPr>
          <w:sz w:val="22"/>
          <w:szCs w:val="22"/>
          <w:lang w:eastAsia="en-US"/>
        </w:rPr>
        <w:t xml:space="preserve">. </w:t>
      </w:r>
    </w:p>
    <w:p w:rsidR="00F81B90" w:rsidRPr="00AE7A8D" w:rsidRDefault="00F81B90"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814F3A" w:rsidRPr="00814F3A" w:rsidRDefault="00814F3A" w:rsidP="00814F3A">
      <w:pPr>
        <w:pStyle w:val="af1"/>
        <w:ind w:firstLine="709"/>
        <w:contextualSpacing/>
        <w:jc w:val="both"/>
        <w:rPr>
          <w:sz w:val="22"/>
          <w:szCs w:val="22"/>
        </w:rPr>
      </w:pPr>
      <w:r w:rsidRPr="00DE110A">
        <w:rPr>
          <w:sz w:val="22"/>
          <w:szCs w:val="22"/>
        </w:rPr>
        <w:lastRenderedPageBreak/>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Договора поручительства</w:t>
      </w:r>
      <w:r>
        <w:rPr>
          <w:rFonts w:eastAsia="Calibri"/>
          <w:sz w:val="22"/>
          <w:szCs w:val="22"/>
        </w:rPr>
        <w:t xml:space="preserve"> </w:t>
      </w:r>
      <w:r w:rsidRPr="000226B1">
        <w:rPr>
          <w:sz w:val="22"/>
          <w:szCs w:val="22"/>
        </w:rPr>
        <w:t xml:space="preserve">№ </w:t>
      </w:r>
      <w:r>
        <w:rPr>
          <w:sz w:val="22"/>
          <w:szCs w:val="22"/>
        </w:rPr>
        <w:t>06503</w:t>
      </w:r>
      <w:r w:rsidRPr="00BD21D3">
        <w:rPr>
          <w:sz w:val="22"/>
          <w:szCs w:val="22"/>
        </w:rPr>
        <w:t>/22</w:t>
      </w:r>
      <w:r>
        <w:rPr>
          <w:sz w:val="22"/>
          <w:szCs w:val="22"/>
        </w:rPr>
        <w:t xml:space="preserve"> </w:t>
      </w:r>
      <w:r w:rsidRPr="000226B1">
        <w:rPr>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w:t>
      </w:r>
      <w:r w:rsidRPr="003475A6">
        <w:rPr>
          <w:sz w:val="22"/>
          <w:szCs w:val="22"/>
        </w:rPr>
        <w:t>Соглашению № БГ</w:t>
      </w:r>
      <w:r>
        <w:rPr>
          <w:sz w:val="22"/>
          <w:szCs w:val="22"/>
        </w:rPr>
        <w:t>065</w:t>
      </w:r>
      <w:r w:rsidRPr="003475A6">
        <w:rPr>
          <w:sz w:val="22"/>
          <w:szCs w:val="22"/>
        </w:rPr>
        <w:t>/22</w:t>
      </w:r>
      <w:r>
        <w:rPr>
          <w:sz w:val="22"/>
          <w:szCs w:val="22"/>
        </w:rPr>
        <w:t xml:space="preserve"> </w:t>
      </w:r>
      <w:r w:rsidRPr="003475A6">
        <w:rPr>
          <w:sz w:val="22"/>
          <w:szCs w:val="22"/>
        </w:rPr>
        <w:t xml:space="preserve">о выдаче гарантий от </w:t>
      </w:r>
      <w:r>
        <w:rPr>
          <w:sz w:val="22"/>
          <w:szCs w:val="22"/>
        </w:rPr>
        <w:t>«</w:t>
      </w:r>
      <w:r w:rsidRPr="003475A6">
        <w:rPr>
          <w:sz w:val="22"/>
          <w:szCs w:val="22"/>
        </w:rPr>
        <w:t>13</w:t>
      </w:r>
      <w:r>
        <w:rPr>
          <w:sz w:val="22"/>
          <w:szCs w:val="22"/>
        </w:rPr>
        <w:t>»</w:t>
      </w:r>
      <w:r w:rsidRPr="003475A6">
        <w:rPr>
          <w:sz w:val="22"/>
          <w:szCs w:val="22"/>
        </w:rPr>
        <w:t xml:space="preserve"> сентября 2022</w:t>
      </w:r>
      <w:r>
        <w:rPr>
          <w:sz w:val="22"/>
          <w:szCs w:val="22"/>
        </w:rPr>
        <w:t xml:space="preserve"> </w:t>
      </w:r>
      <w:r w:rsidRPr="003475A6">
        <w:rPr>
          <w:sz w:val="22"/>
          <w:szCs w:val="22"/>
        </w:rPr>
        <w:t xml:space="preserve">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Pr>
          <w:sz w:val="22"/>
          <w:szCs w:val="22"/>
          <w:lang w:eastAsia="en-US"/>
        </w:rPr>
        <w:t xml:space="preserve">, </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A2501F" w:rsidRPr="00DE110A" w:rsidRDefault="00A2501F" w:rsidP="009F7CE7">
      <w:pPr>
        <w:pStyle w:val="af1"/>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Договора поручительства</w:t>
      </w:r>
      <w:r>
        <w:rPr>
          <w:rFonts w:eastAsia="Calibri"/>
          <w:sz w:val="22"/>
          <w:szCs w:val="22"/>
        </w:rPr>
        <w:t xml:space="preserve"> </w:t>
      </w:r>
      <w:r w:rsidRPr="000226B1">
        <w:rPr>
          <w:sz w:val="22"/>
          <w:szCs w:val="22"/>
        </w:rPr>
        <w:t xml:space="preserve">№ </w:t>
      </w:r>
      <w:r>
        <w:rPr>
          <w:sz w:val="22"/>
          <w:szCs w:val="22"/>
        </w:rPr>
        <w:t>06503</w:t>
      </w:r>
      <w:r w:rsidRPr="00BD21D3">
        <w:rPr>
          <w:sz w:val="22"/>
          <w:szCs w:val="22"/>
        </w:rPr>
        <w:t>/22</w:t>
      </w:r>
      <w:r>
        <w:rPr>
          <w:sz w:val="22"/>
          <w:szCs w:val="22"/>
        </w:rPr>
        <w:t xml:space="preserve"> </w:t>
      </w:r>
      <w:r w:rsidRPr="000226B1">
        <w:rPr>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w:t>
      </w:r>
      <w:r w:rsidRPr="003475A6">
        <w:rPr>
          <w:sz w:val="22"/>
          <w:szCs w:val="22"/>
        </w:rPr>
        <w:t>Соглашению № БГ</w:t>
      </w:r>
      <w:r>
        <w:rPr>
          <w:sz w:val="22"/>
          <w:szCs w:val="22"/>
        </w:rPr>
        <w:t>065</w:t>
      </w:r>
      <w:r w:rsidRPr="003475A6">
        <w:rPr>
          <w:sz w:val="22"/>
          <w:szCs w:val="22"/>
        </w:rPr>
        <w:t>/22</w:t>
      </w:r>
      <w:r>
        <w:rPr>
          <w:sz w:val="22"/>
          <w:szCs w:val="22"/>
        </w:rPr>
        <w:t xml:space="preserve"> </w:t>
      </w:r>
      <w:r w:rsidRPr="003475A6">
        <w:rPr>
          <w:sz w:val="22"/>
          <w:szCs w:val="22"/>
        </w:rPr>
        <w:t xml:space="preserve">о выдаче гарантий от </w:t>
      </w:r>
      <w:r>
        <w:rPr>
          <w:sz w:val="22"/>
          <w:szCs w:val="22"/>
        </w:rPr>
        <w:t>«</w:t>
      </w:r>
      <w:r w:rsidRPr="003475A6">
        <w:rPr>
          <w:sz w:val="22"/>
          <w:szCs w:val="22"/>
        </w:rPr>
        <w:t>13</w:t>
      </w:r>
      <w:r>
        <w:rPr>
          <w:sz w:val="22"/>
          <w:szCs w:val="22"/>
        </w:rPr>
        <w:t>»</w:t>
      </w:r>
      <w:r w:rsidRPr="003475A6">
        <w:rPr>
          <w:sz w:val="22"/>
          <w:szCs w:val="22"/>
        </w:rPr>
        <w:t xml:space="preserve"> сентября 2022</w:t>
      </w:r>
      <w:r>
        <w:rPr>
          <w:sz w:val="22"/>
          <w:szCs w:val="22"/>
        </w:rPr>
        <w:t xml:space="preserve"> </w:t>
      </w:r>
      <w:r w:rsidRPr="003475A6">
        <w:rPr>
          <w:sz w:val="22"/>
          <w:szCs w:val="22"/>
        </w:rPr>
        <w:t xml:space="preserve">г. </w:t>
      </w:r>
      <w:r w:rsidRPr="00DE110A">
        <w:rPr>
          <w:sz w:val="22"/>
          <w:szCs w:val="22"/>
          <w:lang w:eastAsia="en-US"/>
        </w:rPr>
        <w:t xml:space="preserve">между АО «ГИДРОМАШСЕРВИС» и </w:t>
      </w:r>
      <w:r w:rsidRPr="00DE110A">
        <w:rPr>
          <w:color w:val="000000"/>
          <w:sz w:val="22"/>
          <w:szCs w:val="22"/>
        </w:rPr>
        <w:t xml:space="preserve">ПАО «МОСКОВСКИЙ КРЕДИТНЫЙ БАНК» </w:t>
      </w:r>
      <w:r>
        <w:rPr>
          <w:color w:val="000000"/>
          <w:sz w:val="22"/>
          <w:szCs w:val="22"/>
        </w:rPr>
        <w:t>(далее – Соглашение</w:t>
      </w:r>
      <w:r w:rsidRPr="00DE110A">
        <w:rPr>
          <w:color w:val="000000"/>
          <w:sz w:val="22"/>
          <w:szCs w:val="22"/>
        </w:rPr>
        <w:t>)</w:t>
      </w:r>
      <w:r w:rsidRPr="00DE110A">
        <w:rPr>
          <w:sz w:val="22"/>
          <w:szCs w:val="22"/>
        </w:rPr>
        <w:t>, на следующих существенных условиях:</w:t>
      </w:r>
    </w:p>
    <w:p w:rsidR="00A2501F" w:rsidRPr="00DE110A" w:rsidRDefault="00A2501F" w:rsidP="00A2501F">
      <w:pPr>
        <w:contextualSpacing/>
        <w:rPr>
          <w:sz w:val="22"/>
          <w:szCs w:val="22"/>
          <w:lang w:eastAsia="en-US"/>
        </w:rPr>
      </w:pPr>
      <w:r w:rsidRPr="00DE110A">
        <w:rPr>
          <w:sz w:val="22"/>
          <w:szCs w:val="22"/>
          <w:u w:val="single"/>
          <w:lang w:eastAsia="en-US"/>
        </w:rPr>
        <w:t>Стороны сделки:</w:t>
      </w:r>
    </w:p>
    <w:p w:rsidR="00A2501F" w:rsidRPr="00DE110A" w:rsidRDefault="00A2501F" w:rsidP="00A2501F">
      <w:pPr>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A2501F" w:rsidRPr="00DE110A" w:rsidRDefault="00A2501F" w:rsidP="00A2501F">
      <w:pPr>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A2501F" w:rsidRPr="009F7CE7" w:rsidRDefault="00A2501F" w:rsidP="009F7CE7">
      <w:pPr>
        <w:contextualSpacing/>
        <w:jc w:val="both"/>
        <w:rPr>
          <w:sz w:val="22"/>
          <w:szCs w:val="22"/>
        </w:rPr>
      </w:pPr>
      <w:r w:rsidRPr="00D44A01">
        <w:rPr>
          <w:sz w:val="22"/>
          <w:szCs w:val="22"/>
        </w:rPr>
        <w:t>Клиент/Выгодоприобретатель</w:t>
      </w:r>
      <w:r w:rsidRPr="00D44A01">
        <w:rPr>
          <w:sz w:val="22"/>
          <w:szCs w:val="22"/>
          <w:lang w:eastAsia="en-US"/>
        </w:rPr>
        <w:t>: АО «ГИДРОМАШСЕРВИС</w:t>
      </w:r>
      <w:r w:rsidRPr="00DE110A">
        <w:rPr>
          <w:sz w:val="22"/>
          <w:szCs w:val="22"/>
          <w:lang w:eastAsia="en-US"/>
        </w:rPr>
        <w:t>»</w:t>
      </w:r>
    </w:p>
    <w:p w:rsidR="00A2501F" w:rsidRPr="00DE110A" w:rsidRDefault="00A2501F" w:rsidP="00A2501F">
      <w:pPr>
        <w:contextualSpacing/>
        <w:jc w:val="both"/>
        <w:rPr>
          <w:b/>
          <w:bCs/>
          <w:sz w:val="22"/>
          <w:szCs w:val="22"/>
        </w:rPr>
      </w:pPr>
      <w:r w:rsidRPr="00DE110A">
        <w:rPr>
          <w:sz w:val="22"/>
          <w:szCs w:val="22"/>
          <w:u w:val="single"/>
        </w:rPr>
        <w:t>Цена сделки</w:t>
      </w:r>
      <w:r w:rsidRPr="00DE110A">
        <w:rPr>
          <w:sz w:val="22"/>
          <w:szCs w:val="22"/>
        </w:rPr>
        <w:t>: определена Сторонами</w:t>
      </w:r>
      <w:r>
        <w:rPr>
          <w:sz w:val="22"/>
          <w:szCs w:val="22"/>
        </w:rPr>
        <w:t xml:space="preserve"> в размере суммы гарантии по Соглашению </w:t>
      </w:r>
      <w:r w:rsidRPr="00826C24">
        <w:rPr>
          <w:sz w:val="22"/>
          <w:szCs w:val="22"/>
        </w:rPr>
        <w:t>14 000 000 000,00 (Четырнадцать миллиардов) рублей или эквивалент указанной суммы в иностранной валюте по курсу Банка России, на дату предоставления гарантии</w:t>
      </w:r>
      <w:r>
        <w:rPr>
          <w:sz w:val="22"/>
          <w:szCs w:val="22"/>
        </w:rPr>
        <w:t xml:space="preserve"> Банком Клиенту</w:t>
      </w:r>
      <w:r w:rsidRPr="00DE110A">
        <w:rPr>
          <w:sz w:val="22"/>
          <w:szCs w:val="22"/>
        </w:rPr>
        <w:t>, что составляет более 50 % от балансовой стоимости активов Поручителя по состоянию н</w:t>
      </w:r>
      <w:r>
        <w:rPr>
          <w:sz w:val="22"/>
          <w:szCs w:val="22"/>
        </w:rPr>
        <w:t>а 30.06.2022 г</w:t>
      </w:r>
      <w:r w:rsidRPr="00DE110A">
        <w:rPr>
          <w:sz w:val="22"/>
          <w:szCs w:val="22"/>
        </w:rPr>
        <w:t xml:space="preserve">. </w:t>
      </w:r>
    </w:p>
    <w:p w:rsidR="00A2501F" w:rsidRPr="00DE110A" w:rsidRDefault="00A2501F" w:rsidP="009F7CE7">
      <w:pPr>
        <w:contextualSpacing/>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A2501F" w:rsidRDefault="00A2501F" w:rsidP="00A2501F">
      <w:pPr>
        <w:contextualSpacing/>
        <w:jc w:val="both"/>
        <w:rPr>
          <w:sz w:val="22"/>
          <w:szCs w:val="22"/>
          <w:u w:val="single"/>
        </w:rPr>
      </w:pPr>
      <w:r w:rsidRPr="00463A39">
        <w:rPr>
          <w:sz w:val="22"/>
          <w:szCs w:val="22"/>
          <w:u w:val="single"/>
        </w:rPr>
        <w:t>Существенные условия сделки:</w:t>
      </w:r>
    </w:p>
    <w:p w:rsidR="00A2501F" w:rsidRPr="00316B77" w:rsidRDefault="00A2501F" w:rsidP="00A2501F">
      <w:pPr>
        <w:jc w:val="both"/>
        <w:rPr>
          <w:sz w:val="22"/>
          <w:szCs w:val="22"/>
          <w:lang w:eastAsia="en-US"/>
        </w:rPr>
      </w:pPr>
      <w:r w:rsidRPr="00316B77">
        <w:rPr>
          <w:sz w:val="22"/>
          <w:szCs w:val="22"/>
          <w:lang w:eastAsia="en-US"/>
        </w:rPr>
        <w:t>Лимит</w:t>
      </w:r>
      <w:r>
        <w:rPr>
          <w:sz w:val="22"/>
          <w:szCs w:val="22"/>
          <w:lang w:eastAsia="en-US"/>
        </w:rPr>
        <w:t xml:space="preserve"> гарантий по Соглашению</w:t>
      </w:r>
      <w:r w:rsidRPr="00316B77">
        <w:rPr>
          <w:sz w:val="22"/>
          <w:szCs w:val="22"/>
          <w:lang w:eastAsia="en-US"/>
        </w:rPr>
        <w:t>: 14 000 000 000,00 (Четырнадцать миллиардов) рублей или эквивалент указанной суммы в иностранной валюте по курсу Банка России, на дату предоставления гарантии.</w:t>
      </w:r>
    </w:p>
    <w:p w:rsidR="00A2501F" w:rsidRDefault="00A2501F" w:rsidP="00A2501F">
      <w:pPr>
        <w:jc w:val="both"/>
        <w:rPr>
          <w:sz w:val="22"/>
          <w:szCs w:val="22"/>
          <w:lang w:eastAsia="en-US"/>
        </w:rPr>
      </w:pPr>
      <w:r w:rsidRPr="00316B77">
        <w:rPr>
          <w:sz w:val="22"/>
          <w:szCs w:val="22"/>
          <w:lang w:eastAsia="en-US"/>
        </w:rPr>
        <w:t>Валюта гарантии: Рубли / доллары США / евро /иная валюта.</w:t>
      </w:r>
    </w:p>
    <w:p w:rsidR="00A2501F" w:rsidRPr="00C04CD8" w:rsidRDefault="00A2501F" w:rsidP="00A2501F">
      <w:pPr>
        <w:jc w:val="both"/>
        <w:rPr>
          <w:sz w:val="22"/>
          <w:szCs w:val="22"/>
          <w:lang w:eastAsia="en-US"/>
        </w:rPr>
      </w:pPr>
      <w:r w:rsidRPr="00C04CD8">
        <w:rPr>
          <w:sz w:val="22"/>
          <w:szCs w:val="22"/>
          <w:lang w:eastAsia="en-US"/>
        </w:rPr>
        <w:lastRenderedPageBreak/>
        <w:t>Период предоставления гарантий: до «07» апреля 2023 года.</w:t>
      </w:r>
    </w:p>
    <w:p w:rsidR="00A2501F" w:rsidRPr="00C04CD8" w:rsidRDefault="00A2501F" w:rsidP="00A2501F">
      <w:pPr>
        <w:pStyle w:val="af1"/>
        <w:rPr>
          <w:sz w:val="22"/>
          <w:szCs w:val="22"/>
          <w:lang w:eastAsia="en-US"/>
        </w:rPr>
      </w:pPr>
      <w:r w:rsidRPr="00C04CD8">
        <w:rPr>
          <w:sz w:val="22"/>
          <w:szCs w:val="22"/>
          <w:lang w:eastAsia="en-US"/>
        </w:rPr>
        <w:t>Срок действия каждой гарантии: Не более 36 месяцев для гарантий в обеспечение исполнения обязательств из контрактов в гарантийный период. Не более 62 месяцев для гарантий в обеспечение исполнения иных обязательств.</w:t>
      </w:r>
    </w:p>
    <w:p w:rsidR="00A2501F" w:rsidRPr="00C04CD8" w:rsidRDefault="00A2501F" w:rsidP="00A2501F">
      <w:pPr>
        <w:pStyle w:val="af1"/>
        <w:jc w:val="both"/>
        <w:rPr>
          <w:sz w:val="21"/>
          <w:szCs w:val="21"/>
        </w:rPr>
      </w:pPr>
      <w:r w:rsidRPr="00C04CD8">
        <w:rPr>
          <w:sz w:val="21"/>
          <w:szCs w:val="21"/>
        </w:rPr>
        <w:t xml:space="preserve">Вознаграждение: </w:t>
      </w:r>
    </w:p>
    <w:p w:rsidR="00A2501F" w:rsidRPr="00C04CD8" w:rsidRDefault="00A2501F" w:rsidP="00A2501F">
      <w:pPr>
        <w:pStyle w:val="af1"/>
        <w:jc w:val="both"/>
        <w:rPr>
          <w:sz w:val="21"/>
          <w:szCs w:val="21"/>
        </w:rPr>
      </w:pPr>
      <w:r w:rsidRPr="00C04CD8">
        <w:rPr>
          <w:sz w:val="21"/>
          <w:szCs w:val="21"/>
        </w:rPr>
        <w:t xml:space="preserve">Размер вознаграждения согласовывается в отношении каждой гарантии, выдаваемой в рублях / долларах США / евро/иной валюте, но в любом случае: </w:t>
      </w:r>
    </w:p>
    <w:p w:rsidR="00A2501F" w:rsidRPr="00C04CD8" w:rsidRDefault="00A2501F" w:rsidP="00A2501F">
      <w:pPr>
        <w:pStyle w:val="af1"/>
        <w:ind w:firstLine="284"/>
        <w:jc w:val="both"/>
        <w:rPr>
          <w:sz w:val="21"/>
          <w:szCs w:val="21"/>
        </w:rPr>
      </w:pPr>
      <w:r w:rsidRPr="00C04CD8">
        <w:rPr>
          <w:sz w:val="21"/>
          <w:szCs w:val="21"/>
        </w:rPr>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 но не более 3,5% (Три целых пять</w:t>
      </w:r>
      <w:r>
        <w:rPr>
          <w:sz w:val="21"/>
          <w:szCs w:val="21"/>
        </w:rPr>
        <w:t xml:space="preserve"> десятых) процентов годовых</w:t>
      </w:r>
      <w:r w:rsidRPr="00C04CD8">
        <w:rPr>
          <w:sz w:val="21"/>
          <w:szCs w:val="21"/>
        </w:rPr>
        <w:t>;</w:t>
      </w:r>
    </w:p>
    <w:p w:rsidR="00A2501F" w:rsidRPr="00C04CD8" w:rsidRDefault="00A2501F" w:rsidP="00A2501F">
      <w:pPr>
        <w:pStyle w:val="af1"/>
        <w:ind w:firstLine="284"/>
        <w:jc w:val="both"/>
        <w:rPr>
          <w:sz w:val="21"/>
          <w:szCs w:val="21"/>
        </w:rPr>
      </w:pPr>
      <w:r w:rsidRPr="00C04CD8">
        <w:rPr>
          <w:sz w:val="21"/>
          <w:szCs w:val="21"/>
        </w:rPr>
        <w:t>-не менее 1,2 % (Одного целого двух десятых) процентов годовых для гарантий, выдаваемых в обеспечение исполнения иных обязательств, но не более 3,5% (Три целых пять</w:t>
      </w:r>
      <w:r>
        <w:rPr>
          <w:sz w:val="21"/>
          <w:szCs w:val="21"/>
        </w:rPr>
        <w:t xml:space="preserve"> десятых) процентов годовых</w:t>
      </w:r>
      <w:r w:rsidRPr="00C04CD8">
        <w:rPr>
          <w:sz w:val="21"/>
          <w:szCs w:val="21"/>
        </w:rPr>
        <w:t>.</w:t>
      </w:r>
    </w:p>
    <w:p w:rsidR="00A2501F" w:rsidRPr="00C04CD8" w:rsidRDefault="00A2501F" w:rsidP="00A2501F">
      <w:pPr>
        <w:pStyle w:val="af1"/>
        <w:ind w:firstLine="284"/>
        <w:jc w:val="both"/>
        <w:rPr>
          <w:sz w:val="21"/>
          <w:szCs w:val="21"/>
        </w:rPr>
      </w:pPr>
      <w:r w:rsidRPr="00C04CD8">
        <w:rPr>
          <w:sz w:val="21"/>
          <w:szCs w:val="21"/>
        </w:rPr>
        <w:t xml:space="preserve">Изменение Банком вознаграждения в одностороннем порядке - </w:t>
      </w:r>
    </w:p>
    <w:p w:rsidR="00A2501F" w:rsidRPr="00C04CD8" w:rsidRDefault="00A2501F" w:rsidP="00A2501F">
      <w:pPr>
        <w:pStyle w:val="af1"/>
        <w:ind w:firstLine="284"/>
        <w:jc w:val="both"/>
        <w:rPr>
          <w:sz w:val="21"/>
          <w:szCs w:val="21"/>
        </w:rPr>
      </w:pPr>
      <w:r w:rsidRPr="00C04CD8">
        <w:rPr>
          <w:sz w:val="21"/>
          <w:szCs w:val="21"/>
        </w:rPr>
        <w:t>Банк вправе в одностороннем внесудебном порядке изменить размер вознаграждения. Предельное значение изменения вознаграждения – не более чем на 1 (Один) процентный пункт. Основание для изменения вознаграждения: на 0,5 (Ноль целых пять десятых) процентных пункта в случае неисполнения / ненадлежащего исполнения Клиентом/ обязательств (а), предусмотренных (ого) п.1.1 приложения 2 к Соглашению;</w:t>
      </w:r>
    </w:p>
    <w:p w:rsidR="00A2501F" w:rsidRPr="00C04CD8" w:rsidRDefault="00A2501F" w:rsidP="00A2501F">
      <w:pPr>
        <w:pStyle w:val="af1"/>
        <w:ind w:firstLine="284"/>
        <w:jc w:val="both"/>
        <w:rPr>
          <w:sz w:val="21"/>
          <w:szCs w:val="21"/>
        </w:rPr>
      </w:pPr>
      <w:r w:rsidRPr="00C04CD8">
        <w:rPr>
          <w:sz w:val="21"/>
          <w:szCs w:val="21"/>
        </w:rPr>
        <w:t xml:space="preserve">Об изменении вознаграждения Банк направляет Клиенту соответствующее уведомление (извещение). </w:t>
      </w:r>
    </w:p>
    <w:p w:rsidR="00A2501F" w:rsidRPr="00C04CD8" w:rsidRDefault="00A2501F" w:rsidP="00A2501F">
      <w:pPr>
        <w:pStyle w:val="af1"/>
        <w:ind w:firstLine="284"/>
        <w:jc w:val="both"/>
        <w:rPr>
          <w:sz w:val="21"/>
          <w:szCs w:val="21"/>
        </w:rPr>
      </w:pPr>
      <w:r w:rsidRPr="00C04CD8">
        <w:rPr>
          <w:sz w:val="21"/>
          <w:szCs w:val="21"/>
        </w:rPr>
        <w:t>Новое значение вознаграждения применяется с первого числа месяца, следующего за месяцем направления такого уведомления (извещения).</w:t>
      </w:r>
    </w:p>
    <w:p w:rsidR="00A2501F" w:rsidRPr="00C04CD8" w:rsidRDefault="00A2501F" w:rsidP="00A2501F">
      <w:pPr>
        <w:pStyle w:val="af1"/>
        <w:ind w:firstLine="284"/>
        <w:jc w:val="both"/>
        <w:rPr>
          <w:sz w:val="21"/>
          <w:szCs w:val="21"/>
        </w:rPr>
      </w:pPr>
      <w:r w:rsidRPr="00C04CD8">
        <w:rPr>
          <w:sz w:val="21"/>
          <w:szCs w:val="21"/>
        </w:rPr>
        <w:t>Повышение вознаграждения за неисполнение / ненадлежащее исполнения Клиентом/ обязательств (а), предусмотренных (ого) п.1.1 приложения 2 к Соглашению применяется только к выданным Гарантиям, по которым данное условие было нарушено в рамках финансируемого контракта.</w:t>
      </w:r>
    </w:p>
    <w:p w:rsidR="00A2501F" w:rsidRPr="00C04CD8" w:rsidRDefault="00A2501F" w:rsidP="009F7CE7">
      <w:pPr>
        <w:jc w:val="both"/>
        <w:rPr>
          <w:sz w:val="22"/>
          <w:szCs w:val="22"/>
          <w:lang w:eastAsia="en-US"/>
        </w:rPr>
      </w:pPr>
      <w:r w:rsidRPr="00C04CD8">
        <w:rPr>
          <w:sz w:val="21"/>
          <w:szCs w:val="21"/>
        </w:rPr>
        <w:t>Штрафная неустойка за каждый день просрочки Клиентом любого платежа, предусмотренного Соглашением (% от суммы не исполненных в срок обязательств) - 0,01% (Ноль целых одна сотая процента).</w:t>
      </w:r>
    </w:p>
    <w:p w:rsidR="00A2501F" w:rsidRPr="00316B77" w:rsidRDefault="00A2501F" w:rsidP="009F7CE7">
      <w:pPr>
        <w:jc w:val="both"/>
        <w:rPr>
          <w:sz w:val="22"/>
          <w:szCs w:val="22"/>
          <w:lang w:eastAsia="en-US"/>
        </w:rPr>
      </w:pPr>
      <w:r w:rsidRPr="00316B77">
        <w:rPr>
          <w:sz w:val="22"/>
          <w:szCs w:val="22"/>
          <w:lang w:eastAsia="en-US"/>
        </w:rPr>
        <w:t>Срок де</w:t>
      </w:r>
      <w:r>
        <w:rPr>
          <w:sz w:val="22"/>
          <w:szCs w:val="22"/>
          <w:lang w:eastAsia="en-US"/>
        </w:rPr>
        <w:t xml:space="preserve">йствия Договора поручительства </w:t>
      </w:r>
      <w:r w:rsidRPr="00316B77">
        <w:rPr>
          <w:sz w:val="22"/>
          <w:szCs w:val="22"/>
          <w:lang w:eastAsia="en-US"/>
        </w:rPr>
        <w:t>– до 07 июня 2031</w:t>
      </w:r>
      <w:r>
        <w:rPr>
          <w:sz w:val="22"/>
          <w:szCs w:val="22"/>
          <w:lang w:eastAsia="en-US"/>
        </w:rPr>
        <w:t xml:space="preserve"> </w:t>
      </w:r>
      <w:r w:rsidR="009F7CE7">
        <w:rPr>
          <w:sz w:val="22"/>
          <w:szCs w:val="22"/>
          <w:lang w:eastAsia="en-US"/>
        </w:rPr>
        <w:t>г.</w:t>
      </w:r>
    </w:p>
    <w:p w:rsidR="00A2501F" w:rsidRDefault="00A2501F" w:rsidP="009F7CE7">
      <w:pPr>
        <w:contextualSpacing/>
        <w:jc w:val="both"/>
        <w:rPr>
          <w:sz w:val="22"/>
          <w:szCs w:val="22"/>
        </w:rPr>
      </w:pPr>
      <w:r w:rsidRPr="00316B77">
        <w:rPr>
          <w:sz w:val="22"/>
          <w:szCs w:val="22"/>
          <w:lang w:eastAsia="en-US"/>
        </w:rPr>
        <w:t xml:space="preserve">Все остальные условия содержатся в Приложении № </w:t>
      </w:r>
      <w:r>
        <w:rPr>
          <w:sz w:val="22"/>
          <w:szCs w:val="22"/>
          <w:lang w:eastAsia="en-US"/>
        </w:rPr>
        <w:t xml:space="preserve">1 к настоящему протоколу </w:t>
      </w:r>
      <w:r w:rsidRPr="00316B77">
        <w:rPr>
          <w:sz w:val="22"/>
          <w:szCs w:val="22"/>
          <w:lang w:eastAsia="en-US"/>
        </w:rPr>
        <w:t>– Договор</w:t>
      </w:r>
      <w:r>
        <w:rPr>
          <w:sz w:val="22"/>
          <w:szCs w:val="22"/>
          <w:lang w:eastAsia="en-US"/>
        </w:rPr>
        <w:t>е</w:t>
      </w:r>
      <w:r w:rsidRPr="00316B77">
        <w:rPr>
          <w:sz w:val="22"/>
          <w:szCs w:val="22"/>
          <w:lang w:eastAsia="en-US"/>
        </w:rPr>
        <w:t xml:space="preserve"> поручительства № 06503/22 от «13» сентября 2022</w:t>
      </w:r>
      <w:r>
        <w:rPr>
          <w:sz w:val="22"/>
          <w:szCs w:val="22"/>
          <w:lang w:eastAsia="en-US"/>
        </w:rPr>
        <w:t xml:space="preserve"> </w:t>
      </w:r>
      <w:r w:rsidRPr="00316B77">
        <w:rPr>
          <w:sz w:val="22"/>
          <w:szCs w:val="22"/>
          <w:lang w:eastAsia="en-US"/>
        </w:rPr>
        <w:t>г.</w:t>
      </w:r>
      <w:r>
        <w:rPr>
          <w:sz w:val="22"/>
          <w:szCs w:val="22"/>
          <w:lang w:eastAsia="en-US"/>
        </w:rPr>
        <w:t xml:space="preserve"> </w:t>
      </w:r>
      <w:r w:rsidRPr="00C04CD8">
        <w:rPr>
          <w:sz w:val="22"/>
          <w:szCs w:val="22"/>
          <w:lang w:eastAsia="en-US"/>
        </w:rPr>
        <w:t>и</w:t>
      </w:r>
      <w:r w:rsidRPr="00C04CD8">
        <w:rPr>
          <w:sz w:val="21"/>
          <w:szCs w:val="21"/>
        </w:rPr>
        <w:t xml:space="preserve"> Приложении № 2 - </w:t>
      </w:r>
      <w:r>
        <w:rPr>
          <w:sz w:val="22"/>
          <w:szCs w:val="22"/>
        </w:rPr>
        <w:t>Соглашении</w:t>
      </w:r>
      <w:r w:rsidRPr="00C04CD8">
        <w:rPr>
          <w:sz w:val="22"/>
          <w:szCs w:val="22"/>
        </w:rPr>
        <w:t xml:space="preserve"> № БГ065/22 о выдаче гарантий от «13» сентября 2022</w:t>
      </w:r>
      <w:r>
        <w:rPr>
          <w:sz w:val="22"/>
          <w:szCs w:val="22"/>
        </w:rPr>
        <w:t xml:space="preserve"> </w:t>
      </w:r>
      <w:r w:rsidRPr="00C04CD8">
        <w:rPr>
          <w:sz w:val="22"/>
          <w:szCs w:val="22"/>
        </w:rPr>
        <w:t>г.</w:t>
      </w:r>
    </w:p>
    <w:p w:rsidR="00A2501F" w:rsidRPr="00DE110A" w:rsidRDefault="00A2501F" w:rsidP="00A2501F">
      <w:pPr>
        <w:contextualSpacing/>
        <w:jc w:val="both"/>
        <w:rPr>
          <w:sz w:val="22"/>
          <w:szCs w:val="22"/>
        </w:rPr>
      </w:pPr>
      <w:r w:rsidRPr="00DE110A">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A2501F" w:rsidRPr="00DE110A" w:rsidRDefault="00A2501F" w:rsidP="00A2501F">
      <w:pPr>
        <w:contextualSpacing/>
        <w:jc w:val="both"/>
        <w:rPr>
          <w:sz w:val="22"/>
          <w:szCs w:val="22"/>
        </w:rPr>
      </w:pPr>
      <w:r w:rsidRPr="00DE110A">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A2501F" w:rsidRPr="00DE110A" w:rsidRDefault="00A2501F" w:rsidP="00A2501F">
      <w:pPr>
        <w:contextualSpacing/>
        <w:jc w:val="both"/>
        <w:rPr>
          <w:sz w:val="22"/>
          <w:szCs w:val="22"/>
        </w:rPr>
      </w:pPr>
      <w:r w:rsidRPr="00DE110A">
        <w:rPr>
          <w:sz w:val="22"/>
          <w:szCs w:val="22"/>
        </w:rPr>
        <w:t xml:space="preserve">2. косвенно контролирующее лицо Общества - </w:t>
      </w:r>
      <w:r>
        <w:rPr>
          <w:bCs/>
          <w:sz w:val="22"/>
          <w:szCs w:val="22"/>
        </w:rPr>
        <w:t>АО «ГМС Холдинг»</w:t>
      </w:r>
      <w:r w:rsidRPr="00DE110A">
        <w:rPr>
          <w:sz w:val="22"/>
          <w:szCs w:val="22"/>
        </w:rPr>
        <w:t xml:space="preserve"> (является косвенно контролирующим лицом АО «ГИДРОМАШЕСРВИС» - выгодоприобретателя по сделке);</w:t>
      </w:r>
    </w:p>
    <w:p w:rsidR="00A2501F" w:rsidRPr="00DE110A" w:rsidRDefault="00A2501F" w:rsidP="00A2501F">
      <w:pPr>
        <w:contextualSpacing/>
        <w:jc w:val="both"/>
        <w:rPr>
          <w:sz w:val="22"/>
          <w:szCs w:val="22"/>
        </w:rPr>
      </w:pPr>
      <w:r w:rsidRPr="00DE110A">
        <w:rPr>
          <w:sz w:val="22"/>
          <w:szCs w:val="22"/>
        </w:rPr>
        <w:t xml:space="preserve">3. член Совета директоров Общества </w:t>
      </w:r>
      <w:proofErr w:type="spellStart"/>
      <w:r w:rsidRPr="00DE110A">
        <w:rPr>
          <w:sz w:val="22"/>
          <w:szCs w:val="22"/>
        </w:rPr>
        <w:t>Скрынник</w:t>
      </w:r>
      <w:proofErr w:type="spellEnd"/>
      <w:r w:rsidRPr="00DE110A">
        <w:rPr>
          <w:sz w:val="22"/>
          <w:szCs w:val="22"/>
        </w:rPr>
        <w:t xml:space="preserve"> Ю.Н., является членом Совета директоров АО «ГИДРОМАШСЕРВИС» - выгодоприобретателя по сделке;</w:t>
      </w:r>
    </w:p>
    <w:p w:rsidR="00A2501F" w:rsidRPr="00DE110A" w:rsidRDefault="00A2501F" w:rsidP="00A2501F">
      <w:pPr>
        <w:contextualSpacing/>
        <w:jc w:val="both"/>
        <w:rPr>
          <w:sz w:val="22"/>
          <w:szCs w:val="22"/>
        </w:rPr>
      </w:pPr>
      <w:r w:rsidRPr="00DE110A">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A2501F" w:rsidRPr="00DE110A" w:rsidRDefault="00A2501F" w:rsidP="00A2501F">
      <w:pPr>
        <w:contextualSpacing/>
        <w:jc w:val="both"/>
        <w:rPr>
          <w:sz w:val="22"/>
          <w:szCs w:val="22"/>
        </w:rPr>
      </w:pPr>
      <w:r w:rsidRPr="00DE110A">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807B28" w:rsidRPr="00DE110A" w:rsidRDefault="00807B28" w:rsidP="00807B28">
      <w:pPr>
        <w:ind w:firstLine="709"/>
        <w:contextualSpacing/>
        <w:jc w:val="both"/>
        <w:rPr>
          <w:sz w:val="22"/>
          <w:szCs w:val="22"/>
          <w:lang w:eastAsia="en-US"/>
        </w:rPr>
      </w:pPr>
    </w:p>
    <w:p w:rsidR="00CC1FAE" w:rsidRDefault="00CC1FAE" w:rsidP="00CC1FAE">
      <w:pPr>
        <w:jc w:val="center"/>
        <w:rPr>
          <w:b/>
          <w:sz w:val="22"/>
          <w:szCs w:val="22"/>
        </w:rPr>
      </w:pPr>
      <w:r w:rsidRPr="00AE7A8D">
        <w:rPr>
          <w:b/>
          <w:sz w:val="22"/>
          <w:szCs w:val="22"/>
        </w:rPr>
        <w:t>ПО ВТОРОМУ ВОПРОСУ ПОВЕСТКИ ДНЯ:</w:t>
      </w:r>
    </w:p>
    <w:p w:rsidR="00E83C89" w:rsidRDefault="00E83C89" w:rsidP="00CC1FAE">
      <w:pPr>
        <w:jc w:val="center"/>
        <w:rPr>
          <w:b/>
          <w:sz w:val="22"/>
          <w:szCs w:val="22"/>
        </w:rPr>
      </w:pPr>
    </w:p>
    <w:p w:rsidR="00814F3A" w:rsidRDefault="00814F3A" w:rsidP="00814F3A">
      <w:pPr>
        <w:ind w:firstLine="709"/>
        <w:contextualSpacing/>
        <w:jc w:val="both"/>
        <w:rPr>
          <w:sz w:val="22"/>
          <w:szCs w:val="22"/>
          <w:lang w:eastAsia="en-US"/>
        </w:rPr>
      </w:pP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Договора поручительства №</w:t>
      </w:r>
      <w:r>
        <w:rPr>
          <w:rFonts w:eastAsia="Calibri"/>
          <w:sz w:val="22"/>
          <w:szCs w:val="22"/>
        </w:rPr>
        <w:t xml:space="preserve"> </w:t>
      </w:r>
      <w:r>
        <w:rPr>
          <w:sz w:val="22"/>
          <w:szCs w:val="22"/>
        </w:rPr>
        <w:t>12003</w:t>
      </w:r>
      <w:r w:rsidRPr="00BD21D3">
        <w:rPr>
          <w:sz w:val="22"/>
          <w:szCs w:val="22"/>
        </w:rPr>
        <w:t>/22</w:t>
      </w:r>
      <w:r>
        <w:rPr>
          <w:sz w:val="22"/>
          <w:szCs w:val="22"/>
        </w:rPr>
        <w:t xml:space="preserve">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w:t>
      </w:r>
      <w:r w:rsidRPr="003475A6">
        <w:rPr>
          <w:sz w:val="22"/>
          <w:szCs w:val="22"/>
        </w:rPr>
        <w:t>Соглашению № БГ</w:t>
      </w:r>
      <w:r>
        <w:rPr>
          <w:sz w:val="22"/>
          <w:szCs w:val="22"/>
        </w:rPr>
        <w:t>120</w:t>
      </w:r>
      <w:r w:rsidRPr="003475A6">
        <w:rPr>
          <w:sz w:val="22"/>
          <w:szCs w:val="22"/>
        </w:rPr>
        <w:t>/22</w:t>
      </w:r>
      <w:r>
        <w:rPr>
          <w:sz w:val="22"/>
          <w:szCs w:val="22"/>
        </w:rPr>
        <w:t xml:space="preserve"> </w:t>
      </w:r>
      <w:r w:rsidRPr="003475A6">
        <w:rPr>
          <w:sz w:val="22"/>
          <w:szCs w:val="22"/>
        </w:rPr>
        <w:t xml:space="preserve">о выдаче гарантий </w:t>
      </w:r>
      <w:r>
        <w:rPr>
          <w:sz w:val="22"/>
          <w:szCs w:val="22"/>
        </w:rPr>
        <w:t xml:space="preserve">от «13» сентября 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Pr>
          <w:sz w:val="22"/>
          <w:szCs w:val="22"/>
          <w:lang w:eastAsia="en-US"/>
        </w:rPr>
        <w:t xml:space="preserve">, </w:t>
      </w:r>
    </w:p>
    <w:p w:rsidR="00D0236A" w:rsidRDefault="00D0236A" w:rsidP="00CC1FAE">
      <w:pPr>
        <w:jc w:val="center"/>
        <w:rPr>
          <w:b/>
          <w:sz w:val="22"/>
          <w:szCs w:val="22"/>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lastRenderedPageBreak/>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CC1FAE" w:rsidRPr="00D0236A" w:rsidRDefault="00D0236A" w:rsidP="00D0236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4D3DEF" w:rsidRPr="00DE110A" w:rsidRDefault="004D3DEF" w:rsidP="009F7CE7">
      <w:pPr>
        <w:pStyle w:val="af1"/>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Договора поручительства</w:t>
      </w:r>
      <w:r>
        <w:rPr>
          <w:rFonts w:eastAsia="Calibri"/>
          <w:sz w:val="22"/>
          <w:szCs w:val="22"/>
        </w:rPr>
        <w:t xml:space="preserve"> </w:t>
      </w:r>
      <w:r w:rsidRPr="00DE110A">
        <w:rPr>
          <w:rFonts w:eastAsia="Calibri"/>
          <w:sz w:val="22"/>
          <w:szCs w:val="22"/>
        </w:rPr>
        <w:t>№</w:t>
      </w:r>
      <w:r>
        <w:rPr>
          <w:rFonts w:eastAsia="Calibri"/>
          <w:sz w:val="22"/>
          <w:szCs w:val="22"/>
        </w:rPr>
        <w:t xml:space="preserve"> </w:t>
      </w:r>
      <w:r>
        <w:rPr>
          <w:sz w:val="22"/>
          <w:szCs w:val="22"/>
        </w:rPr>
        <w:t>12003</w:t>
      </w:r>
      <w:r w:rsidRPr="00BD21D3">
        <w:rPr>
          <w:sz w:val="22"/>
          <w:szCs w:val="22"/>
        </w:rPr>
        <w:t>/22</w:t>
      </w:r>
      <w:r>
        <w:rPr>
          <w:sz w:val="22"/>
          <w:szCs w:val="22"/>
        </w:rPr>
        <w:t xml:space="preserve">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w:t>
      </w:r>
      <w:r w:rsidRPr="003475A6">
        <w:rPr>
          <w:sz w:val="22"/>
          <w:szCs w:val="22"/>
        </w:rPr>
        <w:t>Соглашению № БГ</w:t>
      </w:r>
      <w:r>
        <w:rPr>
          <w:sz w:val="22"/>
          <w:szCs w:val="22"/>
        </w:rPr>
        <w:t>120</w:t>
      </w:r>
      <w:r w:rsidRPr="003475A6">
        <w:rPr>
          <w:sz w:val="22"/>
          <w:szCs w:val="22"/>
        </w:rPr>
        <w:t>/22</w:t>
      </w:r>
      <w:r>
        <w:rPr>
          <w:sz w:val="22"/>
          <w:szCs w:val="22"/>
        </w:rPr>
        <w:t xml:space="preserve"> </w:t>
      </w:r>
      <w:r w:rsidRPr="003475A6">
        <w:rPr>
          <w:sz w:val="22"/>
          <w:szCs w:val="22"/>
        </w:rPr>
        <w:t xml:space="preserve">о выдаче гарантий </w:t>
      </w:r>
      <w:r>
        <w:rPr>
          <w:sz w:val="22"/>
          <w:szCs w:val="22"/>
        </w:rPr>
        <w:t xml:space="preserve">от «13» сентября 2022 г. </w:t>
      </w:r>
      <w:r w:rsidRPr="00DE110A">
        <w:rPr>
          <w:sz w:val="22"/>
          <w:szCs w:val="22"/>
          <w:lang w:eastAsia="en-US"/>
        </w:rPr>
        <w:t xml:space="preserve">между АО «ГМС Нефтемаш» и </w:t>
      </w:r>
      <w:r w:rsidRPr="00DE110A">
        <w:rPr>
          <w:color w:val="000000"/>
          <w:sz w:val="22"/>
          <w:szCs w:val="22"/>
        </w:rPr>
        <w:t xml:space="preserve">ПАО «МОСКОВСКИЙ КРЕДИТНЫЙ БАНК» </w:t>
      </w:r>
      <w:r>
        <w:rPr>
          <w:color w:val="000000"/>
          <w:sz w:val="22"/>
          <w:szCs w:val="22"/>
        </w:rPr>
        <w:t>(далее – Соглашение</w:t>
      </w:r>
      <w:r w:rsidRPr="00DE110A">
        <w:rPr>
          <w:color w:val="000000"/>
          <w:sz w:val="22"/>
          <w:szCs w:val="22"/>
        </w:rPr>
        <w:t>)</w:t>
      </w:r>
      <w:r w:rsidRPr="00DE110A">
        <w:rPr>
          <w:sz w:val="22"/>
          <w:szCs w:val="22"/>
        </w:rPr>
        <w:t>, на следующих существенных условиях:</w:t>
      </w:r>
    </w:p>
    <w:p w:rsidR="004D3DEF" w:rsidRPr="00DE110A" w:rsidRDefault="004D3DEF" w:rsidP="004D3DEF">
      <w:pPr>
        <w:contextualSpacing/>
        <w:rPr>
          <w:sz w:val="22"/>
          <w:szCs w:val="22"/>
          <w:lang w:eastAsia="en-US"/>
        </w:rPr>
      </w:pPr>
      <w:r w:rsidRPr="00DE110A">
        <w:rPr>
          <w:sz w:val="22"/>
          <w:szCs w:val="22"/>
          <w:u w:val="single"/>
          <w:lang w:eastAsia="en-US"/>
        </w:rPr>
        <w:t>Стороны сделки:</w:t>
      </w:r>
    </w:p>
    <w:p w:rsidR="004D3DEF" w:rsidRPr="00DE110A" w:rsidRDefault="004D3DEF" w:rsidP="004D3DEF">
      <w:pPr>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4D3DEF" w:rsidRPr="00DE110A" w:rsidRDefault="004D3DEF" w:rsidP="004D3DEF">
      <w:pPr>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4D3DEF" w:rsidRPr="009F7CE7" w:rsidRDefault="004D3DEF" w:rsidP="009F7CE7">
      <w:pPr>
        <w:contextualSpacing/>
        <w:jc w:val="both"/>
        <w:rPr>
          <w:sz w:val="22"/>
          <w:szCs w:val="22"/>
          <w:lang w:eastAsia="en-US"/>
        </w:rPr>
      </w:pPr>
      <w:r w:rsidRPr="00D44A01">
        <w:rPr>
          <w:sz w:val="22"/>
          <w:szCs w:val="22"/>
        </w:rPr>
        <w:t>Клиент/Выгодоприобретатель</w:t>
      </w:r>
      <w:r w:rsidRPr="00D44A01">
        <w:rPr>
          <w:sz w:val="22"/>
          <w:szCs w:val="22"/>
          <w:lang w:eastAsia="en-US"/>
        </w:rPr>
        <w:t xml:space="preserve">: </w:t>
      </w:r>
      <w:r w:rsidRPr="00DE110A">
        <w:rPr>
          <w:sz w:val="22"/>
          <w:szCs w:val="22"/>
          <w:lang w:eastAsia="en-US"/>
        </w:rPr>
        <w:t>АО «ГМС Нефтемаш»</w:t>
      </w:r>
    </w:p>
    <w:p w:rsidR="004D3DEF" w:rsidRPr="002C31D1" w:rsidRDefault="004D3DEF" w:rsidP="002C31D1">
      <w:pPr>
        <w:contextualSpacing/>
        <w:jc w:val="both"/>
        <w:rPr>
          <w:b/>
          <w:bCs/>
          <w:sz w:val="22"/>
          <w:szCs w:val="22"/>
        </w:rPr>
      </w:pPr>
      <w:r w:rsidRPr="00DE110A">
        <w:rPr>
          <w:sz w:val="22"/>
          <w:szCs w:val="22"/>
          <w:u w:val="single"/>
        </w:rPr>
        <w:t>Цена сделки</w:t>
      </w:r>
      <w:r w:rsidRPr="00DE110A">
        <w:rPr>
          <w:sz w:val="22"/>
          <w:szCs w:val="22"/>
        </w:rPr>
        <w:t>: определена Сторонами</w:t>
      </w:r>
      <w:r>
        <w:rPr>
          <w:sz w:val="22"/>
          <w:szCs w:val="22"/>
        </w:rPr>
        <w:t xml:space="preserve"> в размере суммы гарантии по Соглашению </w:t>
      </w:r>
      <w:r w:rsidRPr="00826C24">
        <w:rPr>
          <w:sz w:val="22"/>
          <w:szCs w:val="22"/>
        </w:rPr>
        <w:t>14 000 000 000,00 (Четырнадцать миллиардов) рублей или эквивалент указанной суммы в иностранной валюте по курсу Банка России, на дату предоставления гарантии</w:t>
      </w:r>
      <w:r>
        <w:rPr>
          <w:sz w:val="22"/>
          <w:szCs w:val="22"/>
        </w:rPr>
        <w:t xml:space="preserve"> Банком Клиенту</w:t>
      </w:r>
      <w:r w:rsidRPr="00DE110A">
        <w:rPr>
          <w:sz w:val="22"/>
          <w:szCs w:val="22"/>
        </w:rPr>
        <w:t>, что составляет более 50 % от балансовой стоимости активов Поручителя по состоянию н</w:t>
      </w:r>
      <w:r>
        <w:rPr>
          <w:sz w:val="22"/>
          <w:szCs w:val="22"/>
        </w:rPr>
        <w:t>а 30.06.2022 г</w:t>
      </w:r>
      <w:r w:rsidRPr="00DE110A">
        <w:rPr>
          <w:sz w:val="22"/>
          <w:szCs w:val="22"/>
        </w:rPr>
        <w:t xml:space="preserve">. </w:t>
      </w:r>
    </w:p>
    <w:p w:rsidR="004D3DEF" w:rsidRPr="00DE110A" w:rsidRDefault="004D3DEF" w:rsidP="009F7CE7">
      <w:pPr>
        <w:contextualSpacing/>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4D3DEF" w:rsidRDefault="004D3DEF" w:rsidP="004D3DEF">
      <w:pPr>
        <w:contextualSpacing/>
        <w:jc w:val="both"/>
        <w:rPr>
          <w:sz w:val="22"/>
          <w:szCs w:val="22"/>
          <w:u w:val="single"/>
        </w:rPr>
      </w:pPr>
      <w:r w:rsidRPr="00463A39">
        <w:rPr>
          <w:sz w:val="22"/>
          <w:szCs w:val="22"/>
          <w:u w:val="single"/>
        </w:rPr>
        <w:t>Существенные условия сделки:</w:t>
      </w:r>
    </w:p>
    <w:p w:rsidR="004D3DEF" w:rsidRPr="00316B77" w:rsidRDefault="004D3DEF" w:rsidP="004D3DEF">
      <w:pPr>
        <w:jc w:val="both"/>
        <w:rPr>
          <w:sz w:val="22"/>
          <w:szCs w:val="22"/>
          <w:lang w:eastAsia="en-US"/>
        </w:rPr>
      </w:pPr>
      <w:r w:rsidRPr="00316B77">
        <w:rPr>
          <w:sz w:val="22"/>
          <w:szCs w:val="22"/>
          <w:lang w:eastAsia="en-US"/>
        </w:rPr>
        <w:t>Лимит</w:t>
      </w:r>
      <w:r>
        <w:rPr>
          <w:sz w:val="22"/>
          <w:szCs w:val="22"/>
          <w:lang w:eastAsia="en-US"/>
        </w:rPr>
        <w:t xml:space="preserve"> гарантий по Соглашению</w:t>
      </w:r>
      <w:r w:rsidRPr="00316B77">
        <w:rPr>
          <w:sz w:val="22"/>
          <w:szCs w:val="22"/>
          <w:lang w:eastAsia="en-US"/>
        </w:rPr>
        <w:t>: 14 000 000 000,00 (Четырнадцать миллиардов) рублей или эквивалент указанной суммы в иностранной валюте по курсу Банка России, на дату предоставления гарантии.</w:t>
      </w:r>
    </w:p>
    <w:p w:rsidR="004D3DEF" w:rsidRDefault="004D3DEF" w:rsidP="004D3DEF">
      <w:pPr>
        <w:jc w:val="both"/>
        <w:rPr>
          <w:sz w:val="22"/>
          <w:szCs w:val="22"/>
          <w:lang w:eastAsia="en-US"/>
        </w:rPr>
      </w:pPr>
      <w:r w:rsidRPr="00316B77">
        <w:rPr>
          <w:sz w:val="22"/>
          <w:szCs w:val="22"/>
          <w:lang w:eastAsia="en-US"/>
        </w:rPr>
        <w:t>Валюта гарантии: Рубли / доллары США / евро /иная валюта.</w:t>
      </w:r>
    </w:p>
    <w:p w:rsidR="004D3DEF" w:rsidRPr="00C04CD8" w:rsidRDefault="004D3DEF" w:rsidP="004D3DEF">
      <w:pPr>
        <w:jc w:val="both"/>
        <w:rPr>
          <w:sz w:val="22"/>
          <w:szCs w:val="22"/>
          <w:lang w:eastAsia="en-US"/>
        </w:rPr>
      </w:pPr>
      <w:r w:rsidRPr="00C04CD8">
        <w:rPr>
          <w:sz w:val="22"/>
          <w:szCs w:val="22"/>
          <w:lang w:eastAsia="en-US"/>
        </w:rPr>
        <w:t>Период предоставления гарантий: до «07» апреля 2023 года.</w:t>
      </w:r>
    </w:p>
    <w:p w:rsidR="004D3DEF" w:rsidRPr="00C04CD8" w:rsidRDefault="004D3DEF" w:rsidP="004D3DEF">
      <w:pPr>
        <w:pStyle w:val="af1"/>
        <w:rPr>
          <w:sz w:val="22"/>
          <w:szCs w:val="22"/>
          <w:lang w:eastAsia="en-US"/>
        </w:rPr>
      </w:pPr>
      <w:r w:rsidRPr="00C04CD8">
        <w:rPr>
          <w:sz w:val="22"/>
          <w:szCs w:val="22"/>
          <w:lang w:eastAsia="en-US"/>
        </w:rPr>
        <w:t>Срок действия каждой гарантии: Не более 36 месяцев для гарантий в обеспечение исполнения обязательств из контрактов в гарантийный период. Не более 62 месяцев для гарантий в обеспечение исполнения иных обязательств.</w:t>
      </w:r>
    </w:p>
    <w:p w:rsidR="004D3DEF" w:rsidRPr="00C04CD8" w:rsidRDefault="004D3DEF" w:rsidP="004D3DEF">
      <w:pPr>
        <w:pStyle w:val="af1"/>
        <w:ind w:firstLine="284"/>
        <w:jc w:val="both"/>
        <w:rPr>
          <w:sz w:val="21"/>
          <w:szCs w:val="21"/>
        </w:rPr>
      </w:pPr>
      <w:r w:rsidRPr="00C04CD8">
        <w:rPr>
          <w:sz w:val="21"/>
          <w:szCs w:val="21"/>
        </w:rPr>
        <w:t xml:space="preserve">Вознаграждение: </w:t>
      </w:r>
    </w:p>
    <w:p w:rsidR="004D3DEF" w:rsidRPr="00C04CD8" w:rsidRDefault="004D3DEF" w:rsidP="004D3DEF">
      <w:pPr>
        <w:pStyle w:val="af1"/>
        <w:ind w:firstLine="284"/>
        <w:jc w:val="both"/>
        <w:rPr>
          <w:sz w:val="21"/>
          <w:szCs w:val="21"/>
        </w:rPr>
      </w:pPr>
      <w:r w:rsidRPr="00C04CD8">
        <w:rPr>
          <w:sz w:val="21"/>
          <w:szCs w:val="21"/>
        </w:rPr>
        <w:t xml:space="preserve">Размер вознаграждения согласовывается в отношении каждой гарантии, выдаваемой в рублях / долларах США / евро/иной валюте, но в любом случае: </w:t>
      </w:r>
    </w:p>
    <w:p w:rsidR="004D3DEF" w:rsidRPr="00C04CD8" w:rsidRDefault="004D3DEF" w:rsidP="004D3DEF">
      <w:pPr>
        <w:pStyle w:val="af1"/>
        <w:ind w:firstLine="284"/>
        <w:jc w:val="both"/>
        <w:rPr>
          <w:sz w:val="21"/>
          <w:szCs w:val="21"/>
        </w:rPr>
      </w:pPr>
      <w:r w:rsidRPr="00C04CD8">
        <w:rPr>
          <w:sz w:val="21"/>
          <w:szCs w:val="21"/>
        </w:rPr>
        <w:lastRenderedPageBreak/>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 но не более 3,5% (Три целых пять</w:t>
      </w:r>
      <w:r>
        <w:rPr>
          <w:sz w:val="21"/>
          <w:szCs w:val="21"/>
        </w:rPr>
        <w:t xml:space="preserve"> десятых) процентов годовых</w:t>
      </w:r>
      <w:r w:rsidRPr="00C04CD8">
        <w:rPr>
          <w:sz w:val="21"/>
          <w:szCs w:val="21"/>
        </w:rPr>
        <w:t>;</w:t>
      </w:r>
    </w:p>
    <w:p w:rsidR="004D3DEF" w:rsidRPr="00C04CD8" w:rsidRDefault="004D3DEF" w:rsidP="004D3DEF">
      <w:pPr>
        <w:pStyle w:val="af1"/>
        <w:ind w:firstLine="284"/>
        <w:jc w:val="both"/>
        <w:rPr>
          <w:sz w:val="21"/>
          <w:szCs w:val="21"/>
        </w:rPr>
      </w:pPr>
      <w:r w:rsidRPr="00C04CD8">
        <w:rPr>
          <w:sz w:val="21"/>
          <w:szCs w:val="21"/>
        </w:rPr>
        <w:t>-не менее 1,2 % (Одного целого двух десятых) процентов годовых для гарантий, выдаваемых в обеспечение исполнения иных обязательств, но не более 3,5% (Три целых пять</w:t>
      </w:r>
      <w:r>
        <w:rPr>
          <w:sz w:val="21"/>
          <w:szCs w:val="21"/>
        </w:rPr>
        <w:t xml:space="preserve"> десятых) процентов годовых</w:t>
      </w:r>
      <w:r w:rsidRPr="00C04CD8">
        <w:rPr>
          <w:sz w:val="21"/>
          <w:szCs w:val="21"/>
        </w:rPr>
        <w:t>.</w:t>
      </w:r>
    </w:p>
    <w:p w:rsidR="004D3DEF" w:rsidRPr="00C04CD8" w:rsidRDefault="004D3DEF" w:rsidP="004D3DEF">
      <w:pPr>
        <w:pStyle w:val="af1"/>
        <w:ind w:firstLine="284"/>
        <w:jc w:val="both"/>
        <w:rPr>
          <w:sz w:val="21"/>
          <w:szCs w:val="21"/>
        </w:rPr>
      </w:pPr>
      <w:r w:rsidRPr="00C04CD8">
        <w:rPr>
          <w:sz w:val="21"/>
          <w:szCs w:val="21"/>
        </w:rPr>
        <w:t xml:space="preserve">Изменение Банком вознаграждения в одностороннем порядке - </w:t>
      </w:r>
    </w:p>
    <w:p w:rsidR="004D3DEF" w:rsidRPr="00C04CD8" w:rsidRDefault="004D3DEF" w:rsidP="004D3DEF">
      <w:pPr>
        <w:pStyle w:val="af1"/>
        <w:ind w:firstLine="284"/>
        <w:jc w:val="both"/>
        <w:rPr>
          <w:sz w:val="21"/>
          <w:szCs w:val="21"/>
        </w:rPr>
      </w:pPr>
      <w:r w:rsidRPr="00C04CD8">
        <w:rPr>
          <w:sz w:val="21"/>
          <w:szCs w:val="21"/>
        </w:rPr>
        <w:t>Банк вправе в одностороннем внесудебном порядке изменить размер вознаграждения. Предельное значение изменения вознаграждения – не более чем на 1 (Один) процентный пункт. Основание для изменения вознаграждения: на 0,5 (Ноль целых пять десятых) процентных пункта в случае неисполнения / ненадлежащего исполнения Клиентом/ обязательств (а), предусмотренных (ого) п.1.1 приложения 2 к Соглашению;</w:t>
      </w:r>
    </w:p>
    <w:p w:rsidR="004D3DEF" w:rsidRPr="00C04CD8" w:rsidRDefault="004D3DEF" w:rsidP="004D3DEF">
      <w:pPr>
        <w:pStyle w:val="af1"/>
        <w:ind w:firstLine="284"/>
        <w:jc w:val="both"/>
        <w:rPr>
          <w:sz w:val="21"/>
          <w:szCs w:val="21"/>
        </w:rPr>
      </w:pPr>
      <w:r w:rsidRPr="00C04CD8">
        <w:rPr>
          <w:sz w:val="21"/>
          <w:szCs w:val="21"/>
        </w:rPr>
        <w:t xml:space="preserve">Об изменении вознаграждения Банк направляет Клиенту соответствующее уведомление (извещение). </w:t>
      </w:r>
    </w:p>
    <w:p w:rsidR="004D3DEF" w:rsidRPr="00C04CD8" w:rsidRDefault="004D3DEF" w:rsidP="004D3DEF">
      <w:pPr>
        <w:pStyle w:val="af1"/>
        <w:ind w:firstLine="284"/>
        <w:jc w:val="both"/>
        <w:rPr>
          <w:sz w:val="21"/>
          <w:szCs w:val="21"/>
        </w:rPr>
      </w:pPr>
      <w:r w:rsidRPr="00C04CD8">
        <w:rPr>
          <w:sz w:val="21"/>
          <w:szCs w:val="21"/>
        </w:rPr>
        <w:t>Новое значение вознаграждения применяется с первого числа месяца, следующего за месяцем направления такого уведомления (извещения).</w:t>
      </w:r>
    </w:p>
    <w:p w:rsidR="004D3DEF" w:rsidRPr="00C04CD8" w:rsidRDefault="004D3DEF" w:rsidP="004D3DEF">
      <w:pPr>
        <w:pStyle w:val="af1"/>
        <w:ind w:firstLine="284"/>
        <w:jc w:val="both"/>
        <w:rPr>
          <w:sz w:val="21"/>
          <w:szCs w:val="21"/>
        </w:rPr>
      </w:pPr>
      <w:r w:rsidRPr="00C04CD8">
        <w:rPr>
          <w:sz w:val="21"/>
          <w:szCs w:val="21"/>
        </w:rPr>
        <w:t>Повышение вознаграждения за неисполнение / ненадлежащее исполнения Клиентом/ обязательств (а), предусмотренных (ого) п.1.1 приложения 2 к Соглашению применяется только к выданным Гарантиям, по которым данное условие было нарушено в рамках финансируемого контракта.</w:t>
      </w:r>
    </w:p>
    <w:p w:rsidR="004D3DEF" w:rsidRPr="00316B77" w:rsidRDefault="004D3DEF" w:rsidP="009F7CE7">
      <w:pPr>
        <w:jc w:val="both"/>
        <w:rPr>
          <w:sz w:val="22"/>
          <w:szCs w:val="22"/>
          <w:lang w:eastAsia="en-US"/>
        </w:rPr>
      </w:pPr>
      <w:r w:rsidRPr="00C04CD8">
        <w:rPr>
          <w:sz w:val="21"/>
          <w:szCs w:val="21"/>
        </w:rPr>
        <w:t>Штрафная неустойка за каждый день просрочки Клиентом любого платежа, предусмотренного Соглашением (% от суммы не исполненных в срок обязательств) - 0,01% (Ноль целых одна сотая процента).</w:t>
      </w:r>
    </w:p>
    <w:p w:rsidR="004D3DEF" w:rsidRDefault="004D3DEF" w:rsidP="004D3DEF">
      <w:pPr>
        <w:jc w:val="both"/>
        <w:rPr>
          <w:sz w:val="22"/>
          <w:szCs w:val="22"/>
          <w:lang w:eastAsia="en-US"/>
        </w:rPr>
      </w:pPr>
      <w:r w:rsidRPr="00316B77">
        <w:rPr>
          <w:sz w:val="22"/>
          <w:szCs w:val="22"/>
          <w:lang w:eastAsia="en-US"/>
        </w:rPr>
        <w:t>Срок де</w:t>
      </w:r>
      <w:r>
        <w:rPr>
          <w:sz w:val="22"/>
          <w:szCs w:val="22"/>
          <w:lang w:eastAsia="en-US"/>
        </w:rPr>
        <w:t xml:space="preserve">йствия Договора поручительства </w:t>
      </w:r>
      <w:r w:rsidRPr="00316B77">
        <w:rPr>
          <w:sz w:val="22"/>
          <w:szCs w:val="22"/>
          <w:lang w:eastAsia="en-US"/>
        </w:rPr>
        <w:t>– до 07 июня 2031</w:t>
      </w:r>
      <w:r>
        <w:rPr>
          <w:sz w:val="22"/>
          <w:szCs w:val="22"/>
          <w:lang w:eastAsia="en-US"/>
        </w:rPr>
        <w:t xml:space="preserve"> </w:t>
      </w:r>
      <w:r w:rsidR="009F7CE7">
        <w:rPr>
          <w:sz w:val="22"/>
          <w:szCs w:val="22"/>
          <w:lang w:eastAsia="en-US"/>
        </w:rPr>
        <w:t>г.</w:t>
      </w:r>
    </w:p>
    <w:p w:rsidR="004D3DEF" w:rsidRPr="009F7CE7" w:rsidRDefault="004D3DEF" w:rsidP="009F7CE7">
      <w:pPr>
        <w:jc w:val="both"/>
        <w:rPr>
          <w:sz w:val="22"/>
          <w:szCs w:val="22"/>
          <w:lang w:eastAsia="en-US"/>
        </w:rPr>
      </w:pPr>
      <w:r w:rsidRPr="00316B77">
        <w:rPr>
          <w:sz w:val="22"/>
          <w:szCs w:val="22"/>
          <w:lang w:eastAsia="en-US"/>
        </w:rPr>
        <w:t xml:space="preserve">Все остальные условия содержатся в Приложении № </w:t>
      </w:r>
      <w:r>
        <w:rPr>
          <w:sz w:val="22"/>
          <w:szCs w:val="22"/>
          <w:lang w:eastAsia="en-US"/>
        </w:rPr>
        <w:t xml:space="preserve">3 к настоящему протоколу </w:t>
      </w:r>
      <w:r w:rsidRPr="00316B77">
        <w:rPr>
          <w:sz w:val="22"/>
          <w:szCs w:val="22"/>
          <w:lang w:eastAsia="en-US"/>
        </w:rPr>
        <w:t xml:space="preserve">– Договор поручительства </w:t>
      </w:r>
      <w:r w:rsidRPr="00DE110A">
        <w:rPr>
          <w:rFonts w:eastAsia="Calibri"/>
          <w:sz w:val="22"/>
          <w:szCs w:val="22"/>
        </w:rPr>
        <w:t>№</w:t>
      </w:r>
      <w:r>
        <w:rPr>
          <w:rFonts w:eastAsia="Calibri"/>
          <w:sz w:val="22"/>
          <w:szCs w:val="22"/>
        </w:rPr>
        <w:t xml:space="preserve"> </w:t>
      </w:r>
      <w:r>
        <w:rPr>
          <w:sz w:val="22"/>
          <w:szCs w:val="22"/>
        </w:rPr>
        <w:t>12003</w:t>
      </w:r>
      <w:r w:rsidRPr="00BD21D3">
        <w:rPr>
          <w:sz w:val="22"/>
          <w:szCs w:val="22"/>
        </w:rPr>
        <w:t>/22</w:t>
      </w:r>
      <w:r>
        <w:rPr>
          <w:sz w:val="22"/>
          <w:szCs w:val="22"/>
        </w:rPr>
        <w:t xml:space="preserve"> </w:t>
      </w:r>
      <w:r w:rsidRPr="00316B77">
        <w:rPr>
          <w:sz w:val="22"/>
          <w:szCs w:val="22"/>
          <w:lang w:eastAsia="en-US"/>
        </w:rPr>
        <w:t>от «13» сентября 2022г.</w:t>
      </w:r>
      <w:r>
        <w:rPr>
          <w:sz w:val="22"/>
          <w:szCs w:val="22"/>
          <w:lang w:eastAsia="en-US"/>
        </w:rPr>
        <w:t xml:space="preserve"> и Приложении № 4 - </w:t>
      </w:r>
      <w:r>
        <w:rPr>
          <w:sz w:val="22"/>
          <w:szCs w:val="22"/>
        </w:rPr>
        <w:t>Соглашение</w:t>
      </w:r>
      <w:r w:rsidRPr="003475A6">
        <w:rPr>
          <w:sz w:val="22"/>
          <w:szCs w:val="22"/>
        </w:rPr>
        <w:t xml:space="preserve"> № БГ</w:t>
      </w:r>
      <w:r>
        <w:rPr>
          <w:sz w:val="22"/>
          <w:szCs w:val="22"/>
        </w:rPr>
        <w:t>120</w:t>
      </w:r>
      <w:r w:rsidRPr="003475A6">
        <w:rPr>
          <w:sz w:val="22"/>
          <w:szCs w:val="22"/>
        </w:rPr>
        <w:t>/22</w:t>
      </w:r>
      <w:r>
        <w:rPr>
          <w:sz w:val="22"/>
          <w:szCs w:val="22"/>
        </w:rPr>
        <w:t xml:space="preserve"> </w:t>
      </w:r>
      <w:r w:rsidRPr="003475A6">
        <w:rPr>
          <w:sz w:val="22"/>
          <w:szCs w:val="22"/>
        </w:rPr>
        <w:t xml:space="preserve">о выдаче гарантий </w:t>
      </w:r>
      <w:r>
        <w:rPr>
          <w:sz w:val="22"/>
          <w:szCs w:val="22"/>
        </w:rPr>
        <w:t>от «13» сентября 2022 г.</w:t>
      </w:r>
    </w:p>
    <w:p w:rsidR="004D3DEF" w:rsidRPr="00DE110A" w:rsidRDefault="004D3DEF" w:rsidP="004D3DEF">
      <w:pPr>
        <w:ind w:right="-5"/>
        <w:contextualSpacing/>
        <w:jc w:val="both"/>
        <w:rPr>
          <w:sz w:val="22"/>
          <w:szCs w:val="22"/>
        </w:rPr>
      </w:pPr>
      <w:r w:rsidRPr="00D17F2C">
        <w:rPr>
          <w:sz w:val="22"/>
          <w:szCs w:val="22"/>
        </w:rPr>
        <w:t xml:space="preserve">Согласно п.6 ст.83 Федерального закона </w:t>
      </w:r>
      <w:r w:rsidRPr="00D17F2C">
        <w:rPr>
          <w:iCs/>
          <w:sz w:val="22"/>
          <w:szCs w:val="22"/>
        </w:rPr>
        <w:t>от 26.12.1995 N 208-ФЗ «Об акционерных обществах» указываются сведения о з</w:t>
      </w:r>
      <w:r w:rsidRPr="00D17F2C">
        <w:rPr>
          <w:sz w:val="22"/>
          <w:szCs w:val="22"/>
        </w:rPr>
        <w:t>аинтересованных в совершении сделки лицах и основаниях заинтересованности таких лиц:</w:t>
      </w:r>
    </w:p>
    <w:p w:rsidR="004D3DEF" w:rsidRPr="00DE110A" w:rsidRDefault="004D3DEF" w:rsidP="004D3DEF">
      <w:pPr>
        <w:pStyle w:val="af1"/>
        <w:contextualSpacing/>
        <w:jc w:val="both"/>
        <w:rPr>
          <w:rFonts w:eastAsia="Calibri"/>
          <w:sz w:val="22"/>
          <w:szCs w:val="22"/>
        </w:rPr>
      </w:pPr>
      <w:r w:rsidRPr="00DE110A">
        <w:rPr>
          <w:rFonts w:eastAsia="Calibri"/>
          <w:sz w:val="22"/>
          <w:szCs w:val="22"/>
        </w:rPr>
        <w:t>1</w:t>
      </w:r>
      <w:r w:rsidRPr="00DE110A">
        <w:rPr>
          <w:sz w:val="22"/>
          <w:szCs w:val="22"/>
        </w:rPr>
        <w:t>. контролирующее лицо Общества - АО «ГМС Нефтемаш» является выгодоприобретателем по сделке;</w:t>
      </w:r>
    </w:p>
    <w:p w:rsidR="004D3DEF" w:rsidRPr="00DE110A" w:rsidRDefault="004D3DEF" w:rsidP="004D3DEF">
      <w:pPr>
        <w:pStyle w:val="af1"/>
        <w:contextualSpacing/>
        <w:jc w:val="both"/>
        <w:rPr>
          <w:rFonts w:eastAsia="Calibri"/>
          <w:sz w:val="22"/>
          <w:szCs w:val="22"/>
        </w:rPr>
      </w:pPr>
      <w:r w:rsidRPr="00DE110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4D3DEF" w:rsidRPr="00DE110A" w:rsidRDefault="004D3DEF" w:rsidP="004D3DEF">
      <w:pPr>
        <w:pStyle w:val="af1"/>
        <w:contextualSpacing/>
        <w:jc w:val="both"/>
        <w:rPr>
          <w:rFonts w:eastAsia="Calibri"/>
          <w:sz w:val="22"/>
          <w:szCs w:val="22"/>
        </w:rPr>
      </w:pPr>
      <w:r w:rsidRPr="00DE110A">
        <w:rPr>
          <w:sz w:val="22"/>
          <w:szCs w:val="22"/>
        </w:rPr>
        <w:t>3. косвенно контролирующее лицо Общества -</w:t>
      </w:r>
      <w:r w:rsidRPr="00D17F2C">
        <w:rPr>
          <w:bCs/>
          <w:sz w:val="22"/>
          <w:szCs w:val="22"/>
        </w:rPr>
        <w:t xml:space="preserve"> </w:t>
      </w:r>
      <w:r>
        <w:rPr>
          <w:bCs/>
          <w:sz w:val="22"/>
          <w:szCs w:val="22"/>
        </w:rPr>
        <w:t>АО «ГМС Холдинг»</w:t>
      </w:r>
      <w:r w:rsidRPr="00DE110A">
        <w:rPr>
          <w:sz w:val="22"/>
          <w:szCs w:val="22"/>
        </w:rPr>
        <w:t xml:space="preserve"> (является косвенно контролирующим лицом АО «ГМС Нефтемаш» - выгодоприобретателя по сделке);</w:t>
      </w:r>
    </w:p>
    <w:p w:rsidR="004D3DEF" w:rsidRPr="00DE110A" w:rsidRDefault="004D3DEF" w:rsidP="004D3DEF">
      <w:pPr>
        <w:pStyle w:val="af1"/>
        <w:contextualSpacing/>
        <w:jc w:val="both"/>
        <w:rPr>
          <w:sz w:val="22"/>
          <w:szCs w:val="22"/>
        </w:rPr>
      </w:pPr>
      <w:r w:rsidRPr="00DE110A">
        <w:rPr>
          <w:iCs/>
          <w:sz w:val="22"/>
          <w:szCs w:val="22"/>
        </w:rPr>
        <w:t xml:space="preserve">4. </w:t>
      </w:r>
      <w:r w:rsidRPr="00DE110A">
        <w:rPr>
          <w:sz w:val="22"/>
          <w:szCs w:val="22"/>
        </w:rPr>
        <w:t xml:space="preserve">члены Совета директоров Общества </w:t>
      </w:r>
      <w:proofErr w:type="spellStart"/>
      <w:r w:rsidRPr="00DE110A">
        <w:rPr>
          <w:sz w:val="22"/>
          <w:szCs w:val="22"/>
        </w:rPr>
        <w:t>Скрынник</w:t>
      </w:r>
      <w:proofErr w:type="spellEnd"/>
      <w:r w:rsidRPr="00DE110A">
        <w:rPr>
          <w:sz w:val="22"/>
          <w:szCs w:val="22"/>
        </w:rPr>
        <w:t xml:space="preserve"> Ю.Н., Игнатов А.В., Новиков А.Е. (являются членами Совета директоров АО «ГМС Нефтемаш» - выгодоприобретателя по сделке);</w:t>
      </w:r>
    </w:p>
    <w:p w:rsidR="004D3DEF" w:rsidRPr="00DE110A" w:rsidRDefault="004D3DEF" w:rsidP="004D3DEF">
      <w:pPr>
        <w:autoSpaceDE w:val="0"/>
        <w:autoSpaceDN w:val="0"/>
        <w:adjustRightInd w:val="0"/>
        <w:contextualSpacing/>
        <w:jc w:val="both"/>
        <w:rPr>
          <w:sz w:val="22"/>
          <w:szCs w:val="22"/>
        </w:rPr>
      </w:pPr>
      <w:r w:rsidRPr="00DE110A">
        <w:rPr>
          <w:sz w:val="22"/>
          <w:szCs w:val="22"/>
        </w:rPr>
        <w:t xml:space="preserve">5. управляющая организация Общества - </w:t>
      </w:r>
      <w:r w:rsidRPr="00DE110A">
        <w:rPr>
          <w:rFonts w:eastAsia="Calibri"/>
          <w:sz w:val="22"/>
          <w:szCs w:val="22"/>
        </w:rPr>
        <w:t xml:space="preserve">ООО «УК «Группа ГМС» (является также </w:t>
      </w:r>
      <w:r w:rsidRPr="00DE110A">
        <w:rPr>
          <w:sz w:val="22"/>
          <w:szCs w:val="22"/>
        </w:rPr>
        <w:t>управляющей организацией АО «ГМС Нефтемаш» - выгодоприобретателя по сделке);</w:t>
      </w:r>
    </w:p>
    <w:p w:rsidR="004D3DEF" w:rsidRPr="00DE110A" w:rsidRDefault="004D3DEF" w:rsidP="004D3DEF">
      <w:pPr>
        <w:contextualSpacing/>
        <w:jc w:val="both"/>
        <w:rPr>
          <w:sz w:val="22"/>
          <w:szCs w:val="22"/>
        </w:rPr>
      </w:pPr>
      <w:r w:rsidRPr="00DE110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47069E" w:rsidRPr="00DE110A" w:rsidRDefault="0047069E" w:rsidP="0047069E">
      <w:pPr>
        <w:ind w:firstLine="709"/>
        <w:contextualSpacing/>
        <w:jc w:val="both"/>
        <w:rPr>
          <w:sz w:val="22"/>
          <w:szCs w:val="22"/>
        </w:rPr>
      </w:pPr>
    </w:p>
    <w:p w:rsidR="00590096" w:rsidRDefault="00590096" w:rsidP="00590096">
      <w:pPr>
        <w:jc w:val="center"/>
        <w:rPr>
          <w:b/>
          <w:sz w:val="22"/>
          <w:szCs w:val="22"/>
        </w:rPr>
      </w:pPr>
      <w:r w:rsidRPr="00AE7A8D">
        <w:rPr>
          <w:b/>
          <w:sz w:val="22"/>
          <w:szCs w:val="22"/>
        </w:rPr>
        <w:t xml:space="preserve">ПО </w:t>
      </w:r>
      <w:r>
        <w:rPr>
          <w:b/>
          <w:sz w:val="22"/>
          <w:szCs w:val="22"/>
        </w:rPr>
        <w:t>ТРЕТЬЕМУ</w:t>
      </w:r>
      <w:r w:rsidRPr="00AE7A8D">
        <w:rPr>
          <w:b/>
          <w:sz w:val="22"/>
          <w:szCs w:val="22"/>
        </w:rPr>
        <w:t xml:space="preserve"> ВОПРОСУ ПОВЕСТКИ ДНЯ:</w:t>
      </w:r>
    </w:p>
    <w:p w:rsidR="00E83C89" w:rsidRDefault="00E83C89" w:rsidP="00590096">
      <w:pPr>
        <w:jc w:val="center"/>
        <w:rPr>
          <w:b/>
          <w:sz w:val="22"/>
          <w:szCs w:val="22"/>
        </w:rPr>
      </w:pPr>
    </w:p>
    <w:p w:rsidR="00814F3A" w:rsidRDefault="00814F3A" w:rsidP="00814F3A">
      <w:pPr>
        <w:ind w:firstLine="709"/>
        <w:contextualSpacing/>
        <w:jc w:val="both"/>
        <w:rPr>
          <w:sz w:val="22"/>
          <w:szCs w:val="22"/>
          <w:lang w:eastAsia="en-US"/>
        </w:rPr>
      </w:pP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 </w:t>
      </w:r>
      <w:r>
        <w:rPr>
          <w:sz w:val="22"/>
          <w:szCs w:val="22"/>
        </w:rPr>
        <w:t>11903/22</w:t>
      </w:r>
      <w:r w:rsidRPr="00733AE8">
        <w:rPr>
          <w:sz w:val="22"/>
          <w:szCs w:val="22"/>
        </w:rPr>
        <w:t xml:space="preserve"> </w:t>
      </w:r>
      <w:r w:rsidRPr="000226B1">
        <w:rPr>
          <w:sz w:val="22"/>
          <w:szCs w:val="22"/>
        </w:rPr>
        <w:t xml:space="preserve">от </w:t>
      </w:r>
      <w:r>
        <w:rPr>
          <w:sz w:val="22"/>
          <w:szCs w:val="22"/>
        </w:rPr>
        <w:t>«13» сентября 2022 г.</w:t>
      </w:r>
      <w:r>
        <w:rPr>
          <w:rFonts w:eastAsia="Calibri"/>
          <w:sz w:val="22"/>
          <w:szCs w:val="22"/>
        </w:rPr>
        <w:t>,</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w:t>
      </w:r>
      <w:r w:rsidRPr="00DE110A">
        <w:rPr>
          <w:rFonts w:eastAsia="Calibri"/>
          <w:sz w:val="22"/>
          <w:szCs w:val="22"/>
        </w:rPr>
        <w:t xml:space="preserve">по </w:t>
      </w:r>
      <w:r w:rsidRPr="003475A6">
        <w:rPr>
          <w:sz w:val="22"/>
          <w:szCs w:val="22"/>
        </w:rPr>
        <w:t>Соглашению № БГ</w:t>
      </w:r>
      <w:r>
        <w:rPr>
          <w:sz w:val="22"/>
          <w:szCs w:val="22"/>
        </w:rPr>
        <w:t>119</w:t>
      </w:r>
      <w:r w:rsidRPr="003475A6">
        <w:rPr>
          <w:sz w:val="22"/>
          <w:szCs w:val="22"/>
        </w:rPr>
        <w:t>/22</w:t>
      </w:r>
      <w:r>
        <w:rPr>
          <w:sz w:val="22"/>
          <w:szCs w:val="22"/>
        </w:rPr>
        <w:t xml:space="preserve"> </w:t>
      </w:r>
      <w:r w:rsidRPr="003475A6">
        <w:rPr>
          <w:sz w:val="22"/>
          <w:szCs w:val="22"/>
        </w:rPr>
        <w:t>о выдаче</w:t>
      </w:r>
      <w:r>
        <w:rPr>
          <w:sz w:val="22"/>
          <w:szCs w:val="22"/>
        </w:rPr>
        <w:t xml:space="preserve"> гарантий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w:t>
      </w:r>
      <w:r w:rsidRPr="00DE110A">
        <w:rPr>
          <w:sz w:val="22"/>
          <w:szCs w:val="22"/>
          <w:lang w:eastAsia="en-US"/>
        </w:rPr>
        <w:t xml:space="preserve">между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и </w:t>
      </w:r>
      <w:r w:rsidRPr="00DE110A">
        <w:rPr>
          <w:color w:val="000000"/>
          <w:sz w:val="22"/>
          <w:szCs w:val="22"/>
        </w:rPr>
        <w:t>ПАО «МОСКОВСКИЙ КРЕДИТНЫЙ БАНК»</w:t>
      </w:r>
      <w:r>
        <w:rPr>
          <w:sz w:val="22"/>
          <w:szCs w:val="22"/>
          <w:lang w:eastAsia="en-US"/>
        </w:rPr>
        <w:t xml:space="preserve">, </w:t>
      </w:r>
    </w:p>
    <w:p w:rsidR="00D0236A" w:rsidRDefault="00D0236A" w:rsidP="00590096">
      <w:pPr>
        <w:jc w:val="center"/>
        <w:rPr>
          <w:b/>
          <w:sz w:val="22"/>
          <w:szCs w:val="22"/>
        </w:rPr>
      </w:pPr>
    </w:p>
    <w:p w:rsidR="00590096" w:rsidRPr="00AE7A8D" w:rsidRDefault="00590096" w:rsidP="00590096">
      <w:pPr>
        <w:jc w:val="center"/>
        <w:rPr>
          <w:b/>
          <w:sz w:val="22"/>
          <w:szCs w:val="22"/>
        </w:rPr>
      </w:pPr>
      <w:r w:rsidRPr="00AE7A8D">
        <w:rPr>
          <w:b/>
          <w:sz w:val="22"/>
          <w:szCs w:val="22"/>
        </w:rPr>
        <w:t>Результат голосования и формулировка решения, принятого</w:t>
      </w:r>
    </w:p>
    <w:p w:rsidR="00590096" w:rsidRPr="00AE7A8D" w:rsidRDefault="00590096" w:rsidP="00590096">
      <w:pPr>
        <w:jc w:val="center"/>
        <w:rPr>
          <w:b/>
          <w:sz w:val="22"/>
          <w:szCs w:val="22"/>
        </w:rPr>
      </w:pPr>
      <w:r w:rsidRPr="00AE7A8D">
        <w:rPr>
          <w:b/>
          <w:sz w:val="22"/>
          <w:szCs w:val="22"/>
        </w:rPr>
        <w:t xml:space="preserve">по данному вопросу повестки дня общего собрания </w:t>
      </w:r>
    </w:p>
    <w:p w:rsidR="00590096" w:rsidRPr="00AE7A8D" w:rsidRDefault="00590096" w:rsidP="00590096">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590096" w:rsidRPr="00D0236A" w:rsidRDefault="00D0236A" w:rsidP="00D0236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590096" w:rsidRPr="00AE7A8D" w:rsidRDefault="00590096" w:rsidP="00590096">
      <w:pPr>
        <w:tabs>
          <w:tab w:val="left" w:pos="9000"/>
        </w:tabs>
        <w:rPr>
          <w:b/>
          <w:bCs/>
          <w:sz w:val="22"/>
          <w:szCs w:val="22"/>
        </w:rPr>
      </w:pPr>
      <w:r w:rsidRPr="00AE7A8D">
        <w:rPr>
          <w:b/>
          <w:bCs/>
          <w:sz w:val="22"/>
          <w:szCs w:val="22"/>
        </w:rPr>
        <w:t>Кворум для принятия решения по данному вопросу имеется.</w:t>
      </w:r>
    </w:p>
    <w:p w:rsidR="00590096" w:rsidRPr="00AE7A8D" w:rsidRDefault="00590096" w:rsidP="00590096">
      <w:pPr>
        <w:jc w:val="center"/>
        <w:rPr>
          <w:b/>
          <w:sz w:val="22"/>
          <w:szCs w:val="22"/>
        </w:rPr>
      </w:pPr>
      <w:r w:rsidRPr="00AE7A8D">
        <w:rPr>
          <w:sz w:val="22"/>
          <w:szCs w:val="22"/>
        </w:rPr>
        <w:br/>
      </w:r>
      <w:r w:rsidRPr="00AE7A8D">
        <w:rPr>
          <w:b/>
          <w:sz w:val="22"/>
          <w:szCs w:val="22"/>
        </w:rPr>
        <w:t>Принятое решение:</w:t>
      </w:r>
    </w:p>
    <w:p w:rsidR="006756CC" w:rsidRPr="00DE110A" w:rsidRDefault="006756CC" w:rsidP="009F7CE7">
      <w:pPr>
        <w:pStyle w:val="af1"/>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w:t>
      </w:r>
      <w:r>
        <w:rPr>
          <w:sz w:val="22"/>
          <w:szCs w:val="22"/>
        </w:rPr>
        <w:t>,</w:t>
      </w:r>
      <w:r w:rsidRPr="00DE110A">
        <w:rPr>
          <w:sz w:val="22"/>
          <w:szCs w:val="22"/>
        </w:rPr>
        <w:t xml:space="preserve"> –</w:t>
      </w:r>
      <w:r>
        <w:rPr>
          <w:sz w:val="22"/>
          <w:szCs w:val="22"/>
        </w:rPr>
        <w:t xml:space="preserve"> </w:t>
      </w:r>
      <w:r w:rsidRPr="00DE110A">
        <w:rPr>
          <w:rFonts w:eastAsia="Calibri"/>
          <w:sz w:val="22"/>
          <w:szCs w:val="22"/>
        </w:rPr>
        <w:t xml:space="preserve">Договора поручительства № </w:t>
      </w:r>
      <w:r>
        <w:rPr>
          <w:sz w:val="22"/>
          <w:szCs w:val="22"/>
        </w:rPr>
        <w:t>11903/22</w:t>
      </w:r>
      <w:r w:rsidRPr="00733AE8">
        <w:rPr>
          <w:sz w:val="22"/>
          <w:szCs w:val="22"/>
        </w:rPr>
        <w:t xml:space="preserve"> </w:t>
      </w:r>
      <w:r w:rsidRPr="000226B1">
        <w:rPr>
          <w:sz w:val="22"/>
          <w:szCs w:val="22"/>
        </w:rPr>
        <w:t xml:space="preserve">от </w:t>
      </w:r>
      <w:r>
        <w:rPr>
          <w:sz w:val="22"/>
          <w:szCs w:val="22"/>
        </w:rPr>
        <w:t>«13» сентября 2022 г.</w:t>
      </w:r>
      <w:r>
        <w:rPr>
          <w:rFonts w:eastAsia="Calibri"/>
          <w:sz w:val="22"/>
          <w:szCs w:val="22"/>
        </w:rPr>
        <w:t>,</w:t>
      </w:r>
      <w:r w:rsidRPr="00DE110A">
        <w:rPr>
          <w:rFonts w:eastAsia="Calibri"/>
          <w:sz w:val="22"/>
          <w:szCs w:val="22"/>
        </w:rPr>
        <w:t xml:space="preserve">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w:t>
      </w:r>
      <w:r w:rsidRPr="00DE110A">
        <w:rPr>
          <w:rFonts w:eastAsia="Calibri"/>
          <w:sz w:val="22"/>
          <w:szCs w:val="22"/>
        </w:rPr>
        <w:t xml:space="preserve">по </w:t>
      </w:r>
      <w:r w:rsidRPr="003475A6">
        <w:rPr>
          <w:sz w:val="22"/>
          <w:szCs w:val="22"/>
        </w:rPr>
        <w:t>Соглашению № БГ</w:t>
      </w:r>
      <w:r>
        <w:rPr>
          <w:sz w:val="22"/>
          <w:szCs w:val="22"/>
        </w:rPr>
        <w:t>119</w:t>
      </w:r>
      <w:r w:rsidRPr="003475A6">
        <w:rPr>
          <w:sz w:val="22"/>
          <w:szCs w:val="22"/>
        </w:rPr>
        <w:t>/22</w:t>
      </w:r>
      <w:r>
        <w:rPr>
          <w:sz w:val="22"/>
          <w:szCs w:val="22"/>
        </w:rPr>
        <w:t xml:space="preserve"> </w:t>
      </w:r>
      <w:r w:rsidRPr="003475A6">
        <w:rPr>
          <w:sz w:val="22"/>
          <w:szCs w:val="22"/>
        </w:rPr>
        <w:t>о выдаче</w:t>
      </w:r>
      <w:r>
        <w:rPr>
          <w:sz w:val="22"/>
          <w:szCs w:val="22"/>
        </w:rPr>
        <w:t xml:space="preserve"> гарантий </w:t>
      </w:r>
      <w:r w:rsidRPr="00DE110A">
        <w:rPr>
          <w:rFonts w:eastAsia="Calibri"/>
          <w:sz w:val="22"/>
          <w:szCs w:val="22"/>
        </w:rPr>
        <w:t xml:space="preserve">от </w:t>
      </w:r>
      <w:r>
        <w:rPr>
          <w:sz w:val="22"/>
          <w:szCs w:val="22"/>
        </w:rPr>
        <w:t>«13» сентября 2022 г.</w:t>
      </w:r>
      <w:r w:rsidRPr="00DE110A">
        <w:rPr>
          <w:rFonts w:eastAsia="Calibri"/>
          <w:sz w:val="22"/>
          <w:szCs w:val="22"/>
        </w:rPr>
        <w:t xml:space="preserve"> </w:t>
      </w:r>
      <w:r w:rsidRPr="00DE110A">
        <w:rPr>
          <w:sz w:val="22"/>
          <w:szCs w:val="22"/>
          <w:lang w:eastAsia="en-US"/>
        </w:rPr>
        <w:t xml:space="preserve">между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 xml:space="preserve">» и </w:t>
      </w:r>
      <w:r w:rsidRPr="00DE110A">
        <w:rPr>
          <w:color w:val="000000"/>
          <w:sz w:val="22"/>
          <w:szCs w:val="22"/>
        </w:rPr>
        <w:t>ПАО «МОСКОВСКИЙ КРЕДИТНЫЙ БАНК»</w:t>
      </w:r>
      <w:r>
        <w:rPr>
          <w:color w:val="000000"/>
          <w:sz w:val="22"/>
          <w:szCs w:val="22"/>
        </w:rPr>
        <w:t xml:space="preserve"> (далее – Соглашение</w:t>
      </w:r>
      <w:r w:rsidRPr="00DE110A">
        <w:rPr>
          <w:color w:val="000000"/>
          <w:sz w:val="22"/>
          <w:szCs w:val="22"/>
        </w:rPr>
        <w:t>)</w:t>
      </w:r>
      <w:r w:rsidRPr="00DE110A">
        <w:rPr>
          <w:sz w:val="22"/>
          <w:szCs w:val="22"/>
        </w:rPr>
        <w:t>, на следующих существенных условиях:</w:t>
      </w:r>
    </w:p>
    <w:p w:rsidR="006756CC" w:rsidRPr="00DE110A" w:rsidRDefault="006756CC" w:rsidP="003F62F1">
      <w:pPr>
        <w:contextualSpacing/>
        <w:rPr>
          <w:sz w:val="22"/>
          <w:szCs w:val="22"/>
          <w:lang w:eastAsia="en-US"/>
        </w:rPr>
      </w:pPr>
      <w:r w:rsidRPr="00DE110A">
        <w:rPr>
          <w:sz w:val="22"/>
          <w:szCs w:val="22"/>
          <w:u w:val="single"/>
          <w:lang w:eastAsia="en-US"/>
        </w:rPr>
        <w:t>Стороны сделки:</w:t>
      </w:r>
    </w:p>
    <w:p w:rsidR="006756CC" w:rsidRPr="00DE110A" w:rsidRDefault="006756CC" w:rsidP="003F62F1">
      <w:pPr>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6756CC" w:rsidRPr="00DE110A" w:rsidRDefault="006756CC" w:rsidP="003F62F1">
      <w:pPr>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6756CC" w:rsidRPr="009F7CE7" w:rsidRDefault="006756CC" w:rsidP="009F7CE7">
      <w:pPr>
        <w:contextualSpacing/>
        <w:jc w:val="both"/>
        <w:rPr>
          <w:sz w:val="22"/>
          <w:szCs w:val="22"/>
          <w:lang w:eastAsia="en-US"/>
        </w:rPr>
      </w:pPr>
      <w:r w:rsidRPr="00D44A01">
        <w:rPr>
          <w:sz w:val="22"/>
          <w:szCs w:val="22"/>
        </w:rPr>
        <w:t>Клиент/Выгодоприобретатель</w:t>
      </w:r>
      <w:r w:rsidRPr="00D44A01">
        <w:rPr>
          <w:sz w:val="22"/>
          <w:szCs w:val="22"/>
          <w:lang w:eastAsia="en-US"/>
        </w:rPr>
        <w:t xml:space="preserve">: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w:t>
      </w:r>
    </w:p>
    <w:p w:rsidR="006756CC" w:rsidRPr="00DE110A" w:rsidRDefault="006756CC" w:rsidP="003F62F1">
      <w:pPr>
        <w:contextualSpacing/>
        <w:jc w:val="both"/>
        <w:rPr>
          <w:b/>
          <w:bCs/>
          <w:sz w:val="22"/>
          <w:szCs w:val="22"/>
        </w:rPr>
      </w:pPr>
      <w:r w:rsidRPr="00DE110A">
        <w:rPr>
          <w:sz w:val="22"/>
          <w:szCs w:val="22"/>
          <w:u w:val="single"/>
        </w:rPr>
        <w:t>Цена сделки</w:t>
      </w:r>
      <w:r w:rsidRPr="00DE110A">
        <w:rPr>
          <w:sz w:val="22"/>
          <w:szCs w:val="22"/>
        </w:rPr>
        <w:t>: определена Сторонами</w:t>
      </w:r>
      <w:r>
        <w:rPr>
          <w:sz w:val="22"/>
          <w:szCs w:val="22"/>
        </w:rPr>
        <w:t xml:space="preserve"> в размере суммы гарантии по Соглашению </w:t>
      </w:r>
      <w:r w:rsidRPr="00826C24">
        <w:rPr>
          <w:sz w:val="22"/>
          <w:szCs w:val="22"/>
        </w:rPr>
        <w:t>14 000 000 000,00 (Четырнадцать миллиардов) рублей или эквивалент указанной суммы в иностранной валюте по курсу Банка России, на дату предоставления гарантии</w:t>
      </w:r>
      <w:r>
        <w:rPr>
          <w:sz w:val="22"/>
          <w:szCs w:val="22"/>
        </w:rPr>
        <w:t xml:space="preserve"> Банком Клиенту</w:t>
      </w:r>
      <w:r w:rsidRPr="00DE110A">
        <w:rPr>
          <w:sz w:val="22"/>
          <w:szCs w:val="22"/>
        </w:rPr>
        <w:t>, что составляет более 50 % от балансовой стоимости активов Поручителя по состоянию н</w:t>
      </w:r>
      <w:r>
        <w:rPr>
          <w:sz w:val="22"/>
          <w:szCs w:val="22"/>
        </w:rPr>
        <w:t>а 30.06.2022 г</w:t>
      </w:r>
      <w:r w:rsidRPr="00DE110A">
        <w:rPr>
          <w:sz w:val="22"/>
          <w:szCs w:val="22"/>
        </w:rPr>
        <w:t xml:space="preserve">. </w:t>
      </w:r>
    </w:p>
    <w:p w:rsidR="006756CC" w:rsidRPr="00DE110A" w:rsidRDefault="006756CC" w:rsidP="006756CC">
      <w:pPr>
        <w:ind w:firstLine="709"/>
        <w:contextualSpacing/>
        <w:rPr>
          <w:sz w:val="22"/>
          <w:szCs w:val="22"/>
          <w:lang w:eastAsia="en-US"/>
        </w:rPr>
      </w:pPr>
    </w:p>
    <w:p w:rsidR="006756CC" w:rsidRPr="00DE110A" w:rsidRDefault="006756CC" w:rsidP="003F62F1">
      <w:pPr>
        <w:contextualSpacing/>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6756CC" w:rsidRPr="00DE110A" w:rsidRDefault="006756CC" w:rsidP="006756CC">
      <w:pPr>
        <w:ind w:firstLine="709"/>
        <w:contextualSpacing/>
        <w:jc w:val="both"/>
        <w:rPr>
          <w:sz w:val="22"/>
          <w:szCs w:val="22"/>
        </w:rPr>
      </w:pPr>
    </w:p>
    <w:p w:rsidR="006756CC" w:rsidRDefault="006756CC" w:rsidP="003F62F1">
      <w:pPr>
        <w:contextualSpacing/>
        <w:jc w:val="both"/>
        <w:rPr>
          <w:sz w:val="22"/>
          <w:szCs w:val="22"/>
          <w:u w:val="single"/>
        </w:rPr>
      </w:pPr>
      <w:r w:rsidRPr="00463A39">
        <w:rPr>
          <w:sz w:val="22"/>
          <w:szCs w:val="22"/>
          <w:u w:val="single"/>
        </w:rPr>
        <w:t>Существенные условия сделки:</w:t>
      </w:r>
    </w:p>
    <w:p w:rsidR="006756CC" w:rsidRPr="00316B77" w:rsidRDefault="006756CC" w:rsidP="003F62F1">
      <w:pPr>
        <w:jc w:val="both"/>
        <w:rPr>
          <w:sz w:val="22"/>
          <w:szCs w:val="22"/>
          <w:lang w:eastAsia="en-US"/>
        </w:rPr>
      </w:pPr>
      <w:r w:rsidRPr="00316B77">
        <w:rPr>
          <w:sz w:val="22"/>
          <w:szCs w:val="22"/>
          <w:lang w:eastAsia="en-US"/>
        </w:rPr>
        <w:t>Лимит</w:t>
      </w:r>
      <w:r>
        <w:rPr>
          <w:sz w:val="22"/>
          <w:szCs w:val="22"/>
          <w:lang w:eastAsia="en-US"/>
        </w:rPr>
        <w:t xml:space="preserve"> гарантий по Соглашению</w:t>
      </w:r>
      <w:r w:rsidRPr="00316B77">
        <w:rPr>
          <w:sz w:val="22"/>
          <w:szCs w:val="22"/>
          <w:lang w:eastAsia="en-US"/>
        </w:rPr>
        <w:t>: 14 000 000 000,00 (Четырнадцать миллиардов) рублей или эквивалент указанной суммы в иностранной валюте по курсу Банка России, на дату предоставления гарантии.</w:t>
      </w:r>
    </w:p>
    <w:p w:rsidR="006756CC" w:rsidRDefault="006756CC" w:rsidP="003F62F1">
      <w:pPr>
        <w:jc w:val="both"/>
        <w:rPr>
          <w:sz w:val="22"/>
          <w:szCs w:val="22"/>
          <w:lang w:eastAsia="en-US"/>
        </w:rPr>
      </w:pPr>
      <w:r w:rsidRPr="00316B77">
        <w:rPr>
          <w:sz w:val="22"/>
          <w:szCs w:val="22"/>
          <w:lang w:eastAsia="en-US"/>
        </w:rPr>
        <w:t>Валюта гарантии: Рубли / доллары США / евро /иная валюта.</w:t>
      </w:r>
    </w:p>
    <w:p w:rsidR="006756CC" w:rsidRPr="00C04CD8" w:rsidRDefault="006756CC" w:rsidP="003F62F1">
      <w:pPr>
        <w:jc w:val="both"/>
        <w:rPr>
          <w:sz w:val="22"/>
          <w:szCs w:val="22"/>
          <w:lang w:eastAsia="en-US"/>
        </w:rPr>
      </w:pPr>
      <w:r w:rsidRPr="00C04CD8">
        <w:rPr>
          <w:sz w:val="22"/>
          <w:szCs w:val="22"/>
          <w:lang w:eastAsia="en-US"/>
        </w:rPr>
        <w:t>Период предоставления гарантий: до «07» апреля 2023 года.</w:t>
      </w:r>
    </w:p>
    <w:p w:rsidR="006756CC" w:rsidRPr="00C04CD8" w:rsidRDefault="006756CC" w:rsidP="003F62F1">
      <w:pPr>
        <w:pStyle w:val="af1"/>
        <w:rPr>
          <w:sz w:val="22"/>
          <w:szCs w:val="22"/>
          <w:lang w:eastAsia="en-US"/>
        </w:rPr>
      </w:pPr>
      <w:r w:rsidRPr="00C04CD8">
        <w:rPr>
          <w:sz w:val="22"/>
          <w:szCs w:val="22"/>
          <w:lang w:eastAsia="en-US"/>
        </w:rPr>
        <w:t>Срок действия каждой гарантии: Не более 36 месяцев для гарантий в обеспечение исполнения обязательств из контрактов в гарантийный период. Не более 62 месяцев для гарантий в обеспечение исполнения иных обязательств.</w:t>
      </w:r>
    </w:p>
    <w:p w:rsidR="006756CC" w:rsidRPr="00C04CD8" w:rsidRDefault="006756CC" w:rsidP="009F7CE7">
      <w:pPr>
        <w:pStyle w:val="af1"/>
        <w:jc w:val="both"/>
        <w:rPr>
          <w:sz w:val="21"/>
          <w:szCs w:val="21"/>
        </w:rPr>
      </w:pPr>
      <w:r w:rsidRPr="00C04CD8">
        <w:rPr>
          <w:sz w:val="21"/>
          <w:szCs w:val="21"/>
        </w:rPr>
        <w:t xml:space="preserve">Вознаграждение: </w:t>
      </w:r>
    </w:p>
    <w:p w:rsidR="006756CC" w:rsidRPr="00C04CD8" w:rsidRDefault="006756CC" w:rsidP="009F7CE7">
      <w:pPr>
        <w:pStyle w:val="af1"/>
        <w:jc w:val="both"/>
        <w:rPr>
          <w:sz w:val="21"/>
          <w:szCs w:val="21"/>
        </w:rPr>
      </w:pPr>
      <w:r w:rsidRPr="00C04CD8">
        <w:rPr>
          <w:sz w:val="21"/>
          <w:szCs w:val="21"/>
        </w:rPr>
        <w:lastRenderedPageBreak/>
        <w:t xml:space="preserve">Размер вознаграждения согласовывается в отношении каждой гарантии, выдаваемой в рублях / долларах США / евро/иной валюте, но в любом случае: </w:t>
      </w:r>
    </w:p>
    <w:p w:rsidR="006756CC" w:rsidRPr="00C04CD8" w:rsidRDefault="006756CC" w:rsidP="009F7CE7">
      <w:pPr>
        <w:pStyle w:val="af1"/>
        <w:jc w:val="both"/>
        <w:rPr>
          <w:sz w:val="21"/>
          <w:szCs w:val="21"/>
        </w:rPr>
      </w:pPr>
      <w:r w:rsidRPr="00C04CD8">
        <w:rPr>
          <w:sz w:val="21"/>
          <w:szCs w:val="21"/>
        </w:rPr>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 но не более 3,5% (Три целых пять десятых) пр</w:t>
      </w:r>
      <w:r>
        <w:rPr>
          <w:sz w:val="21"/>
          <w:szCs w:val="21"/>
        </w:rPr>
        <w:t>оцентов годовых</w:t>
      </w:r>
      <w:r w:rsidRPr="00C04CD8">
        <w:rPr>
          <w:sz w:val="21"/>
          <w:szCs w:val="21"/>
        </w:rPr>
        <w:t>;</w:t>
      </w:r>
    </w:p>
    <w:p w:rsidR="006756CC" w:rsidRPr="00C04CD8" w:rsidRDefault="006756CC" w:rsidP="009F7CE7">
      <w:pPr>
        <w:pStyle w:val="af1"/>
        <w:jc w:val="both"/>
        <w:rPr>
          <w:sz w:val="21"/>
          <w:szCs w:val="21"/>
        </w:rPr>
      </w:pPr>
      <w:r w:rsidRPr="00C04CD8">
        <w:rPr>
          <w:sz w:val="21"/>
          <w:szCs w:val="21"/>
        </w:rPr>
        <w:t>-не менее 1,2 % (Одного целого двух десятых) процентов годовых для гарантий, выдаваемых в обеспечение исполнения иных обязательств, но не более 3,5% (Три целых пять</w:t>
      </w:r>
      <w:r>
        <w:rPr>
          <w:sz w:val="21"/>
          <w:szCs w:val="21"/>
        </w:rPr>
        <w:t xml:space="preserve"> десятых) процентов годовых</w:t>
      </w:r>
      <w:r w:rsidRPr="00C04CD8">
        <w:rPr>
          <w:sz w:val="21"/>
          <w:szCs w:val="21"/>
        </w:rPr>
        <w:t>.</w:t>
      </w:r>
    </w:p>
    <w:p w:rsidR="006756CC" w:rsidRPr="00C04CD8" w:rsidRDefault="006756CC" w:rsidP="009F7CE7">
      <w:pPr>
        <w:pStyle w:val="af1"/>
        <w:jc w:val="both"/>
        <w:rPr>
          <w:sz w:val="21"/>
          <w:szCs w:val="21"/>
        </w:rPr>
      </w:pPr>
      <w:r w:rsidRPr="00C04CD8">
        <w:rPr>
          <w:sz w:val="21"/>
          <w:szCs w:val="21"/>
        </w:rPr>
        <w:t xml:space="preserve">Изменение Банком вознаграждения в одностороннем порядке - </w:t>
      </w:r>
    </w:p>
    <w:p w:rsidR="006756CC" w:rsidRPr="00C04CD8" w:rsidRDefault="006756CC" w:rsidP="009F7CE7">
      <w:pPr>
        <w:pStyle w:val="af1"/>
        <w:jc w:val="both"/>
        <w:rPr>
          <w:sz w:val="21"/>
          <w:szCs w:val="21"/>
        </w:rPr>
      </w:pPr>
      <w:r w:rsidRPr="00C04CD8">
        <w:rPr>
          <w:sz w:val="21"/>
          <w:szCs w:val="21"/>
        </w:rPr>
        <w:t>Банк вправе в одностороннем внесудебном порядке изменить размер вознаграждения. Предельное значение изменения вознаграждения – не более чем на 1 (Один) процентный пункт. Основание для изменения вознаграждения: на 0,5 (Ноль целых пять десятых) процентных пункта в случае неисполнения / ненадлежащего исполнения Клиентом/ обязательств (а), предусмотренных (ого) п.1.1 приложения 2 к Соглашению;</w:t>
      </w:r>
    </w:p>
    <w:p w:rsidR="006756CC" w:rsidRPr="00C04CD8" w:rsidRDefault="006756CC" w:rsidP="009F7CE7">
      <w:pPr>
        <w:pStyle w:val="af1"/>
        <w:jc w:val="both"/>
        <w:rPr>
          <w:sz w:val="21"/>
          <w:szCs w:val="21"/>
        </w:rPr>
      </w:pPr>
      <w:r w:rsidRPr="00C04CD8">
        <w:rPr>
          <w:sz w:val="21"/>
          <w:szCs w:val="21"/>
        </w:rPr>
        <w:t xml:space="preserve">Об изменении вознаграждения Банк направляет Клиенту соответствующее уведомление (извещение). </w:t>
      </w:r>
    </w:p>
    <w:p w:rsidR="006756CC" w:rsidRPr="00C04CD8" w:rsidRDefault="006756CC" w:rsidP="006756CC">
      <w:pPr>
        <w:pStyle w:val="af1"/>
        <w:ind w:firstLine="284"/>
        <w:jc w:val="both"/>
        <w:rPr>
          <w:sz w:val="21"/>
          <w:szCs w:val="21"/>
        </w:rPr>
      </w:pPr>
      <w:r w:rsidRPr="00C04CD8">
        <w:rPr>
          <w:sz w:val="21"/>
          <w:szCs w:val="21"/>
        </w:rPr>
        <w:t>Новое значение вознаграждения применяется с первого числа месяца, следующего за месяцем направления такого уведомления (извещения).</w:t>
      </w:r>
    </w:p>
    <w:p w:rsidR="006756CC" w:rsidRPr="00C04CD8" w:rsidRDefault="006756CC" w:rsidP="009F7CE7">
      <w:pPr>
        <w:pStyle w:val="af1"/>
        <w:jc w:val="both"/>
        <w:rPr>
          <w:sz w:val="21"/>
          <w:szCs w:val="21"/>
        </w:rPr>
      </w:pPr>
      <w:r w:rsidRPr="00C04CD8">
        <w:rPr>
          <w:sz w:val="21"/>
          <w:szCs w:val="21"/>
        </w:rPr>
        <w:t>Повышение вознаграждения за неисполнение / ненадлежащее исполнения Клиентом/ обязательств (а), предусмотренных (ого) п.1.1 приложения 2 к Соглашению применяется только к выданным Гарантиям, по которым данное условие было нарушено в рамках финансируемого контракта.</w:t>
      </w:r>
    </w:p>
    <w:p w:rsidR="006756CC" w:rsidRPr="00C04CD8" w:rsidRDefault="006756CC" w:rsidP="009F7CE7">
      <w:pPr>
        <w:jc w:val="both"/>
        <w:rPr>
          <w:sz w:val="22"/>
          <w:szCs w:val="22"/>
          <w:lang w:eastAsia="en-US"/>
        </w:rPr>
      </w:pPr>
      <w:r w:rsidRPr="00C04CD8">
        <w:rPr>
          <w:sz w:val="21"/>
          <w:szCs w:val="21"/>
        </w:rPr>
        <w:t>Штрафная неустойка за каждый день просрочки Клиентом любого платежа, предусмотренного Соглашением (% от суммы не исполненных в срок обязательств) - 0,01% (Ноль целых одна сотая процента).</w:t>
      </w:r>
    </w:p>
    <w:p w:rsidR="006756CC" w:rsidRPr="00316B77" w:rsidRDefault="006756CC" w:rsidP="009F7CE7">
      <w:pPr>
        <w:jc w:val="both"/>
        <w:rPr>
          <w:sz w:val="22"/>
          <w:szCs w:val="22"/>
          <w:lang w:eastAsia="en-US"/>
        </w:rPr>
      </w:pPr>
      <w:r w:rsidRPr="00316B77">
        <w:rPr>
          <w:sz w:val="22"/>
          <w:szCs w:val="22"/>
          <w:lang w:eastAsia="en-US"/>
        </w:rPr>
        <w:t>Срок де</w:t>
      </w:r>
      <w:r>
        <w:rPr>
          <w:sz w:val="22"/>
          <w:szCs w:val="22"/>
          <w:lang w:eastAsia="en-US"/>
        </w:rPr>
        <w:t xml:space="preserve">йствия Договора поручительства </w:t>
      </w:r>
      <w:r w:rsidRPr="00316B77">
        <w:rPr>
          <w:sz w:val="22"/>
          <w:szCs w:val="22"/>
          <w:lang w:eastAsia="en-US"/>
        </w:rPr>
        <w:t>– до 07 июня 2031</w:t>
      </w:r>
      <w:r>
        <w:rPr>
          <w:sz w:val="22"/>
          <w:szCs w:val="22"/>
          <w:lang w:eastAsia="en-US"/>
        </w:rPr>
        <w:t xml:space="preserve"> </w:t>
      </w:r>
      <w:r w:rsidR="009F7CE7">
        <w:rPr>
          <w:sz w:val="22"/>
          <w:szCs w:val="22"/>
          <w:lang w:eastAsia="en-US"/>
        </w:rPr>
        <w:t>г.</w:t>
      </w:r>
    </w:p>
    <w:p w:rsidR="006756CC" w:rsidRPr="009F7CE7" w:rsidRDefault="006756CC" w:rsidP="009F7CE7">
      <w:pPr>
        <w:jc w:val="both"/>
        <w:rPr>
          <w:sz w:val="22"/>
          <w:szCs w:val="22"/>
          <w:lang w:eastAsia="en-US"/>
        </w:rPr>
      </w:pPr>
      <w:r w:rsidRPr="00316B77">
        <w:rPr>
          <w:sz w:val="22"/>
          <w:szCs w:val="22"/>
          <w:lang w:eastAsia="en-US"/>
        </w:rPr>
        <w:t xml:space="preserve">Все остальные условия содержатся в Приложении № </w:t>
      </w:r>
      <w:r>
        <w:rPr>
          <w:sz w:val="22"/>
          <w:szCs w:val="22"/>
          <w:lang w:eastAsia="en-US"/>
        </w:rPr>
        <w:t xml:space="preserve">5 к настоящему протоколу </w:t>
      </w:r>
      <w:r w:rsidRPr="00316B77">
        <w:rPr>
          <w:sz w:val="22"/>
          <w:szCs w:val="22"/>
          <w:lang w:eastAsia="en-US"/>
        </w:rPr>
        <w:t>– Договор</w:t>
      </w:r>
      <w:r>
        <w:rPr>
          <w:sz w:val="22"/>
          <w:szCs w:val="22"/>
          <w:lang w:eastAsia="en-US"/>
        </w:rPr>
        <w:t>е</w:t>
      </w:r>
      <w:r w:rsidRPr="00316B77">
        <w:rPr>
          <w:sz w:val="22"/>
          <w:szCs w:val="22"/>
          <w:lang w:eastAsia="en-US"/>
        </w:rPr>
        <w:t xml:space="preserve"> поручительства </w:t>
      </w:r>
      <w:r w:rsidRPr="00DE110A">
        <w:rPr>
          <w:rFonts w:eastAsia="Calibri"/>
          <w:sz w:val="22"/>
          <w:szCs w:val="22"/>
        </w:rPr>
        <w:t>№</w:t>
      </w:r>
      <w:r>
        <w:rPr>
          <w:rFonts w:eastAsia="Calibri"/>
          <w:sz w:val="22"/>
          <w:szCs w:val="22"/>
        </w:rPr>
        <w:t xml:space="preserve"> </w:t>
      </w:r>
      <w:r>
        <w:rPr>
          <w:sz w:val="22"/>
          <w:szCs w:val="22"/>
        </w:rPr>
        <w:t>11903/22</w:t>
      </w:r>
      <w:r>
        <w:rPr>
          <w:rFonts w:eastAsia="Calibri"/>
          <w:sz w:val="22"/>
          <w:szCs w:val="22"/>
        </w:rPr>
        <w:t xml:space="preserve"> </w:t>
      </w:r>
      <w:r w:rsidRPr="00316B77">
        <w:rPr>
          <w:sz w:val="22"/>
          <w:szCs w:val="22"/>
          <w:lang w:eastAsia="en-US"/>
        </w:rPr>
        <w:t>от «13» сентября 2022</w:t>
      </w:r>
      <w:r>
        <w:rPr>
          <w:sz w:val="22"/>
          <w:szCs w:val="22"/>
          <w:lang w:eastAsia="en-US"/>
        </w:rPr>
        <w:t xml:space="preserve"> </w:t>
      </w:r>
      <w:r w:rsidRPr="00316B77">
        <w:rPr>
          <w:sz w:val="22"/>
          <w:szCs w:val="22"/>
          <w:lang w:eastAsia="en-US"/>
        </w:rPr>
        <w:t>г.</w:t>
      </w:r>
      <w:r>
        <w:rPr>
          <w:sz w:val="22"/>
          <w:szCs w:val="22"/>
          <w:lang w:eastAsia="en-US"/>
        </w:rPr>
        <w:t xml:space="preserve"> и Приложении № 6 - </w:t>
      </w:r>
      <w:r>
        <w:rPr>
          <w:sz w:val="22"/>
          <w:szCs w:val="22"/>
        </w:rPr>
        <w:t>Соглашении</w:t>
      </w:r>
      <w:r w:rsidRPr="003475A6">
        <w:rPr>
          <w:sz w:val="22"/>
          <w:szCs w:val="22"/>
        </w:rPr>
        <w:t xml:space="preserve"> № БГ</w:t>
      </w:r>
      <w:r>
        <w:rPr>
          <w:sz w:val="22"/>
          <w:szCs w:val="22"/>
        </w:rPr>
        <w:t>119</w:t>
      </w:r>
      <w:r w:rsidRPr="003475A6">
        <w:rPr>
          <w:sz w:val="22"/>
          <w:szCs w:val="22"/>
        </w:rPr>
        <w:t>/22</w:t>
      </w:r>
      <w:r>
        <w:rPr>
          <w:sz w:val="22"/>
          <w:szCs w:val="22"/>
        </w:rPr>
        <w:t xml:space="preserve"> </w:t>
      </w:r>
      <w:r w:rsidRPr="003475A6">
        <w:rPr>
          <w:sz w:val="22"/>
          <w:szCs w:val="22"/>
        </w:rPr>
        <w:t xml:space="preserve">о выдаче гарантий </w:t>
      </w:r>
      <w:r>
        <w:rPr>
          <w:sz w:val="22"/>
          <w:szCs w:val="22"/>
        </w:rPr>
        <w:t>от «13» сентября 2022 г.</w:t>
      </w:r>
    </w:p>
    <w:p w:rsidR="006756CC" w:rsidRPr="00DE110A" w:rsidRDefault="006756CC" w:rsidP="003F62F1">
      <w:pPr>
        <w:ind w:right="-5"/>
        <w:contextualSpacing/>
        <w:jc w:val="both"/>
        <w:rPr>
          <w:sz w:val="22"/>
          <w:szCs w:val="22"/>
        </w:rPr>
      </w:pPr>
      <w:r w:rsidRPr="00D17F2C">
        <w:rPr>
          <w:sz w:val="22"/>
          <w:szCs w:val="22"/>
        </w:rPr>
        <w:t xml:space="preserve">Согласно п.6 ст.83 Федерального закона </w:t>
      </w:r>
      <w:r w:rsidRPr="00D17F2C">
        <w:rPr>
          <w:iCs/>
          <w:sz w:val="22"/>
          <w:szCs w:val="22"/>
        </w:rPr>
        <w:t>от 26.12.1995 N 208-ФЗ «Об акционерных обществах» указываются сведения о з</w:t>
      </w:r>
      <w:r w:rsidRPr="00D17F2C">
        <w:rPr>
          <w:sz w:val="22"/>
          <w:szCs w:val="22"/>
        </w:rPr>
        <w:t>аинтересованных в совершении сделки лицах и основаниях заинтересованности таких лиц:</w:t>
      </w:r>
    </w:p>
    <w:p w:rsidR="006756CC" w:rsidRPr="00DA1C7D" w:rsidRDefault="006756CC" w:rsidP="0032745D">
      <w:pPr>
        <w:contextualSpacing/>
        <w:jc w:val="both"/>
        <w:rPr>
          <w:sz w:val="22"/>
          <w:szCs w:val="22"/>
          <w:lang w:eastAsia="en-US"/>
        </w:rPr>
      </w:pPr>
      <w:r w:rsidRPr="00534466">
        <w:rPr>
          <w:rFonts w:eastAsia="Calibri"/>
          <w:sz w:val="22"/>
          <w:szCs w:val="22"/>
        </w:rPr>
        <w:t>1</w:t>
      </w:r>
      <w:r w:rsidRPr="00534466">
        <w:rPr>
          <w:sz w:val="22"/>
          <w:szCs w:val="22"/>
        </w:rPr>
        <w:t>. косвенно контролирующее лицо</w:t>
      </w:r>
      <w:r w:rsidRPr="00DA1C7D">
        <w:rPr>
          <w:sz w:val="22"/>
          <w:szCs w:val="22"/>
        </w:rPr>
        <w:t xml:space="preserve"> Общества - АО «Группа ГМС» (является контролирующим лицом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w:t>
      </w:r>
      <w:r>
        <w:rPr>
          <w:sz w:val="22"/>
          <w:szCs w:val="22"/>
          <w:lang w:eastAsia="en-US"/>
        </w:rPr>
        <w:t xml:space="preserve"> </w:t>
      </w:r>
      <w:r w:rsidRPr="00DA1C7D">
        <w:rPr>
          <w:sz w:val="22"/>
          <w:szCs w:val="22"/>
        </w:rPr>
        <w:t>- выгодоприобретателя по сделке);</w:t>
      </w:r>
    </w:p>
    <w:p w:rsidR="006756CC" w:rsidRPr="00076BCF" w:rsidRDefault="006756CC" w:rsidP="0032745D">
      <w:pPr>
        <w:contextualSpacing/>
        <w:jc w:val="both"/>
        <w:rPr>
          <w:sz w:val="22"/>
          <w:szCs w:val="22"/>
          <w:lang w:eastAsia="en-US"/>
        </w:rPr>
      </w:pPr>
      <w:r w:rsidRPr="00DA1C7D">
        <w:rPr>
          <w:sz w:val="22"/>
          <w:szCs w:val="22"/>
        </w:rPr>
        <w:t xml:space="preserve">2. косвенно контролирующее лицо Общества - </w:t>
      </w:r>
      <w:r>
        <w:rPr>
          <w:bCs/>
          <w:sz w:val="22"/>
          <w:szCs w:val="22"/>
        </w:rPr>
        <w:t>АО «ГМС Холдинг»</w:t>
      </w:r>
      <w:r w:rsidRPr="00DA1C7D">
        <w:rPr>
          <w:sz w:val="22"/>
          <w:szCs w:val="22"/>
        </w:rPr>
        <w:t xml:space="preserve"> (является косвенно контролирующим лицом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w:t>
      </w:r>
      <w:r>
        <w:rPr>
          <w:sz w:val="22"/>
          <w:szCs w:val="22"/>
          <w:lang w:eastAsia="en-US"/>
        </w:rPr>
        <w:t xml:space="preserve"> </w:t>
      </w:r>
      <w:r w:rsidRPr="00DA1C7D">
        <w:rPr>
          <w:sz w:val="22"/>
          <w:szCs w:val="22"/>
        </w:rPr>
        <w:t>- выгодоприобретателя по сделке);</w:t>
      </w:r>
    </w:p>
    <w:p w:rsidR="006756CC" w:rsidRPr="00DA1C7D" w:rsidRDefault="006756CC" w:rsidP="0032745D">
      <w:pPr>
        <w:contextualSpacing/>
        <w:jc w:val="both"/>
        <w:rPr>
          <w:sz w:val="22"/>
          <w:szCs w:val="22"/>
          <w:lang w:eastAsia="en-US"/>
        </w:rPr>
      </w:pPr>
      <w:r w:rsidRPr="00DA1C7D">
        <w:rPr>
          <w:iCs/>
          <w:sz w:val="22"/>
          <w:szCs w:val="22"/>
        </w:rPr>
        <w:t xml:space="preserve">3. </w:t>
      </w:r>
      <w:r w:rsidRPr="00DA1C7D">
        <w:rPr>
          <w:sz w:val="22"/>
          <w:szCs w:val="22"/>
        </w:rPr>
        <w:t xml:space="preserve">член Совета директоров Общества </w:t>
      </w:r>
      <w:proofErr w:type="spellStart"/>
      <w:r w:rsidRPr="00DA1C7D">
        <w:rPr>
          <w:sz w:val="22"/>
          <w:szCs w:val="22"/>
        </w:rPr>
        <w:t>Скрынник</w:t>
      </w:r>
      <w:proofErr w:type="spellEnd"/>
      <w:r w:rsidRPr="00DA1C7D">
        <w:rPr>
          <w:sz w:val="22"/>
          <w:szCs w:val="22"/>
        </w:rPr>
        <w:t xml:space="preserve"> Ю.Н. (является членом Совета директоров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w:t>
      </w:r>
      <w:r>
        <w:rPr>
          <w:sz w:val="22"/>
          <w:szCs w:val="22"/>
          <w:lang w:eastAsia="en-US"/>
        </w:rPr>
        <w:t xml:space="preserve"> </w:t>
      </w:r>
      <w:r w:rsidRPr="00DA1C7D">
        <w:rPr>
          <w:sz w:val="22"/>
          <w:szCs w:val="22"/>
        </w:rPr>
        <w:t>- выгодоприобретателя по сделке);</w:t>
      </w:r>
    </w:p>
    <w:p w:rsidR="006756CC" w:rsidRPr="00DA1C7D" w:rsidRDefault="006756CC" w:rsidP="0032745D">
      <w:pPr>
        <w:contextualSpacing/>
        <w:jc w:val="both"/>
        <w:rPr>
          <w:sz w:val="22"/>
          <w:szCs w:val="22"/>
          <w:lang w:eastAsia="en-US"/>
        </w:rPr>
      </w:pPr>
      <w:r w:rsidRPr="00DA1C7D">
        <w:rPr>
          <w:iCs/>
          <w:sz w:val="22"/>
          <w:szCs w:val="22"/>
        </w:rPr>
        <w:t xml:space="preserve">4. </w:t>
      </w:r>
      <w:r w:rsidRPr="00DA1C7D">
        <w:rPr>
          <w:sz w:val="22"/>
          <w:szCs w:val="22"/>
        </w:rPr>
        <w:t xml:space="preserve">управляющая организация Общества - </w:t>
      </w:r>
      <w:r w:rsidRPr="00DA1C7D">
        <w:rPr>
          <w:rFonts w:eastAsia="Calibri"/>
          <w:sz w:val="22"/>
          <w:szCs w:val="22"/>
        </w:rPr>
        <w:t xml:space="preserve">ООО «УК «Группа ГМС» (является также </w:t>
      </w:r>
      <w:r w:rsidRPr="00DA1C7D">
        <w:rPr>
          <w:sz w:val="22"/>
          <w:szCs w:val="22"/>
        </w:rPr>
        <w:t xml:space="preserve">управляющей организацией </w:t>
      </w:r>
      <w:r>
        <w:rPr>
          <w:sz w:val="22"/>
          <w:szCs w:val="22"/>
          <w:lang w:eastAsia="en-US"/>
        </w:rPr>
        <w:t>АО «</w:t>
      </w:r>
      <w:proofErr w:type="spellStart"/>
      <w:r>
        <w:rPr>
          <w:sz w:val="22"/>
          <w:szCs w:val="22"/>
          <w:lang w:eastAsia="en-US"/>
        </w:rPr>
        <w:t>Казанькомпрессормаш</w:t>
      </w:r>
      <w:proofErr w:type="spellEnd"/>
      <w:r w:rsidRPr="00DE110A">
        <w:rPr>
          <w:sz w:val="22"/>
          <w:szCs w:val="22"/>
          <w:lang w:eastAsia="en-US"/>
        </w:rPr>
        <w:t>»</w:t>
      </w:r>
      <w:r>
        <w:rPr>
          <w:sz w:val="22"/>
          <w:szCs w:val="22"/>
          <w:lang w:eastAsia="en-US"/>
        </w:rPr>
        <w:t xml:space="preserve"> </w:t>
      </w:r>
      <w:r w:rsidRPr="00DA1C7D">
        <w:rPr>
          <w:sz w:val="22"/>
          <w:szCs w:val="22"/>
        </w:rPr>
        <w:t>- выгодоприобретателя по сделке);</w:t>
      </w:r>
    </w:p>
    <w:p w:rsidR="006756CC" w:rsidRPr="00DE110A" w:rsidRDefault="006756CC" w:rsidP="006756CC">
      <w:pPr>
        <w:contextualSpacing/>
        <w:jc w:val="both"/>
        <w:rPr>
          <w:sz w:val="22"/>
          <w:szCs w:val="22"/>
        </w:rPr>
      </w:pPr>
      <w:r w:rsidRPr="00DA1C7D">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E83C89" w:rsidRDefault="00706A13" w:rsidP="002C31D1">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591E0C">
        <w:rPr>
          <w:b/>
          <w:sz w:val="22"/>
          <w:szCs w:val="22"/>
        </w:rPr>
        <w:t>отчета: «30» ноября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Default="00776408" w:rsidP="00776408">
      <w:pPr>
        <w:rPr>
          <w:sz w:val="22"/>
          <w:szCs w:val="22"/>
        </w:rPr>
      </w:pPr>
    </w:p>
    <w:p w:rsidR="006709F8" w:rsidRDefault="006709F8" w:rsidP="00776408">
      <w:pPr>
        <w:rPr>
          <w:sz w:val="22"/>
          <w:szCs w:val="22"/>
        </w:rPr>
      </w:pPr>
      <w:bookmarkStart w:id="0" w:name="_GoBack"/>
      <w:bookmarkEnd w:id="0"/>
    </w:p>
    <w:sectPr w:rsidR="006709F8"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6709F8">
          <w:rPr>
            <w:noProof/>
            <w:sz w:val="20"/>
            <w:szCs w:val="20"/>
          </w:rPr>
          <w:t>2</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6709F8">
          <w:rPr>
            <w:noProof/>
            <w:sz w:val="20"/>
            <w:szCs w:val="20"/>
          </w:rPr>
          <w:t>7</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75A7C"/>
    <w:rsid w:val="000804CC"/>
    <w:rsid w:val="00086D57"/>
    <w:rsid w:val="000939E1"/>
    <w:rsid w:val="00097252"/>
    <w:rsid w:val="000976ED"/>
    <w:rsid w:val="000A01D8"/>
    <w:rsid w:val="000A7F39"/>
    <w:rsid w:val="000B1D5F"/>
    <w:rsid w:val="000B3315"/>
    <w:rsid w:val="000B64F1"/>
    <w:rsid w:val="000B7147"/>
    <w:rsid w:val="000C0BD8"/>
    <w:rsid w:val="000C2C7B"/>
    <w:rsid w:val="000E0C77"/>
    <w:rsid w:val="000E1EE3"/>
    <w:rsid w:val="000E69A5"/>
    <w:rsid w:val="000E7A91"/>
    <w:rsid w:val="000F5231"/>
    <w:rsid w:val="000F552D"/>
    <w:rsid w:val="001040A5"/>
    <w:rsid w:val="00111BF3"/>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C31D1"/>
    <w:rsid w:val="002C47B9"/>
    <w:rsid w:val="002C62C9"/>
    <w:rsid w:val="002D2016"/>
    <w:rsid w:val="002E09F1"/>
    <w:rsid w:val="002E20CE"/>
    <w:rsid w:val="002E46F5"/>
    <w:rsid w:val="002E6436"/>
    <w:rsid w:val="002E6EBE"/>
    <w:rsid w:val="002E77C8"/>
    <w:rsid w:val="00302CE6"/>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7EC6"/>
    <w:rsid w:val="003B0228"/>
    <w:rsid w:val="003B51A9"/>
    <w:rsid w:val="003C38A9"/>
    <w:rsid w:val="003D5C01"/>
    <w:rsid w:val="003D738D"/>
    <w:rsid w:val="003D7EB0"/>
    <w:rsid w:val="003E2ACD"/>
    <w:rsid w:val="003E2DA6"/>
    <w:rsid w:val="003E2E44"/>
    <w:rsid w:val="003F62F1"/>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3DEF"/>
    <w:rsid w:val="004D5CB1"/>
    <w:rsid w:val="004D62D4"/>
    <w:rsid w:val="004D67E8"/>
    <w:rsid w:val="004F2039"/>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2FEE"/>
    <w:rsid w:val="0058745D"/>
    <w:rsid w:val="00590096"/>
    <w:rsid w:val="00591E0C"/>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2A53"/>
    <w:rsid w:val="006338B1"/>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27"/>
    <w:rsid w:val="007870DD"/>
    <w:rsid w:val="007871E2"/>
    <w:rsid w:val="00787EDC"/>
    <w:rsid w:val="007911C9"/>
    <w:rsid w:val="00796B19"/>
    <w:rsid w:val="007A180F"/>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E21B4"/>
    <w:rsid w:val="008E59E2"/>
    <w:rsid w:val="008E7EA7"/>
    <w:rsid w:val="008F0CEC"/>
    <w:rsid w:val="008F55AF"/>
    <w:rsid w:val="008F57BD"/>
    <w:rsid w:val="008F6BE1"/>
    <w:rsid w:val="008F6D8E"/>
    <w:rsid w:val="009054BB"/>
    <w:rsid w:val="009129CB"/>
    <w:rsid w:val="00914E6A"/>
    <w:rsid w:val="009178D3"/>
    <w:rsid w:val="00927F6F"/>
    <w:rsid w:val="0093266B"/>
    <w:rsid w:val="009333A7"/>
    <w:rsid w:val="00933F8C"/>
    <w:rsid w:val="00935066"/>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A28F9"/>
    <w:rsid w:val="009A7107"/>
    <w:rsid w:val="009B09A0"/>
    <w:rsid w:val="009B3C71"/>
    <w:rsid w:val="009C496D"/>
    <w:rsid w:val="009C593C"/>
    <w:rsid w:val="009D428C"/>
    <w:rsid w:val="009E5BF8"/>
    <w:rsid w:val="009F4357"/>
    <w:rsid w:val="009F4ADE"/>
    <w:rsid w:val="009F7CE7"/>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564C3"/>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B674B"/>
    <w:rsid w:val="00EC653A"/>
    <w:rsid w:val="00EC7209"/>
    <w:rsid w:val="00ED16A8"/>
    <w:rsid w:val="00ED1E92"/>
    <w:rsid w:val="00ED55E7"/>
    <w:rsid w:val="00EE4A91"/>
    <w:rsid w:val="00EE6307"/>
    <w:rsid w:val="00F02408"/>
    <w:rsid w:val="00F0246B"/>
    <w:rsid w:val="00F027E3"/>
    <w:rsid w:val="00F15066"/>
    <w:rsid w:val="00F249AC"/>
    <w:rsid w:val="00F27B3C"/>
    <w:rsid w:val="00F3030F"/>
    <w:rsid w:val="00F31E44"/>
    <w:rsid w:val="00F331A9"/>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5C8BA750"/>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B399-1709-4F3A-8E63-444AD0A6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133</cp:revision>
  <cp:lastPrinted>2022-11-28T08:41:00Z</cp:lastPrinted>
  <dcterms:created xsi:type="dcterms:W3CDTF">2021-11-01T05:26:00Z</dcterms:created>
  <dcterms:modified xsi:type="dcterms:W3CDTF">2022-11-28T08:41:00Z</dcterms:modified>
</cp:coreProperties>
</file>